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69310">
      <w:pPr>
        <w:tabs>
          <w:tab w:val="left" w:pos="1843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СОДЕРЖАНИЕ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br w:type="textWrapping"/>
      </w:r>
    </w:p>
    <w:p w14:paraId="7AC1732C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Введение…………………………………………………………………………...3</w:t>
      </w:r>
    </w:p>
    <w:p w14:paraId="4F5C38FA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 Организационно-правовая характеристика организации…………………….4</w:t>
      </w:r>
    </w:p>
    <w:p w14:paraId="76AE48A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 Нормативно-правовая база организации………………………………………7</w:t>
      </w:r>
    </w:p>
    <w:p w14:paraId="52795C66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 Анализ внутренней и внешней среды функционирования организации…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</w:t>
      </w:r>
      <w:r>
        <w:rPr>
          <w:rFonts w:ascii="Times New Roman" w:hAnsi="Times New Roman" w:cs="Times New Roman"/>
          <w:sz w:val="28"/>
          <w:szCs w:val="28"/>
          <w:lang w:val="ru-RU"/>
        </w:rPr>
        <w:t>11</w:t>
      </w:r>
    </w:p>
    <w:p w14:paraId="1F9D359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 Анализ основных финансовых показателей организации…………………..18</w:t>
      </w:r>
    </w:p>
    <w:p w14:paraId="5CC02214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 Анализ финансового состояния организации………………………………..23</w:t>
      </w:r>
    </w:p>
    <w:p w14:paraId="514CE6D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Индивидуальное задание………………………………………………………..35</w:t>
      </w:r>
    </w:p>
    <w:p w14:paraId="2262C67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Заключение……………………………………………………………………….42</w:t>
      </w:r>
    </w:p>
    <w:p w14:paraId="08D4B9C0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Список используемых источников………………………………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...</w:t>
      </w:r>
      <w:r>
        <w:rPr>
          <w:rFonts w:ascii="Times New Roman" w:hAnsi="Times New Roman" w:cs="Times New Roman"/>
          <w:sz w:val="28"/>
          <w:szCs w:val="28"/>
          <w:lang w:val="ru-RU"/>
        </w:rPr>
        <w:t>…………...47</w:t>
      </w:r>
    </w:p>
    <w:p w14:paraId="6E118C3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Приложения ……………………………………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...</w:t>
      </w:r>
      <w:r>
        <w:rPr>
          <w:rFonts w:ascii="Times New Roman" w:hAnsi="Times New Roman" w:cs="Times New Roman"/>
          <w:sz w:val="28"/>
          <w:szCs w:val="28"/>
          <w:lang w:val="ru-RU"/>
        </w:rPr>
        <w:t>……………………………...48</w:t>
      </w:r>
    </w:p>
    <w:p w14:paraId="2100D953">
      <w:pPr>
        <w:spacing w:after="0" w:line="360" w:lineRule="exact"/>
        <w:jc w:val="center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zh-CN"/>
        </w:rPr>
        <w:t>ВВЕДЕНИЕ</w:t>
      </w:r>
    </w:p>
    <w:p w14:paraId="389E18C6">
      <w:pPr>
        <w:spacing w:after="0" w:line="360" w:lineRule="exact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</w:p>
    <w:p w14:paraId="242932AE">
      <w:pP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>Преддипломная практика студентов является важнейшей частью образовательного процесса при подготовке специалистов с высшим образованием и представляет собой планомерную и целенаправленную деятельность студентов по освоению избранной специальности, углубленному закреплению теоретических знаний, профессиональных и творческих исполнительских навыков на каждом этапе обучения. Важная роль принадлежит преддипломной практике, направленной на формирование у студентов целостного представления о будущей специальности, обучение студентов практическим навыкам и подготовка их к самостоятельной профессиональной деятельности по избранной специальности, сбор информации для написания дипломной работы.</w:t>
      </w:r>
    </w:p>
    <w:p w14:paraId="5B8A1361">
      <w:pP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>Основная цель преддипломной практики – овладение студентами практических навыков и умений, а также как средство подготовки к написанию дипломной работы.</w:t>
      </w:r>
    </w:p>
    <w:p w14:paraId="5B1645BB">
      <w:pP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>Задачами организационно-экономической практики являются:</w:t>
      </w:r>
    </w:p>
    <w:p w14:paraId="007DFA71">
      <w:pP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>- изучение и анализ всех аспектов деятельности предприятия; </w:t>
      </w:r>
    </w:p>
    <w:p w14:paraId="7BFD7CEA">
      <w:pP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>- приобретение практических навыков анализа экономических процессов, выбора и обоснования управленческих решений в конкретных производственных ситуациях;</w:t>
      </w:r>
    </w:p>
    <w:p w14:paraId="46AE223B">
      <w:pP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>- ознакомление с экономи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  <w:t>ческими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, статистическими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  <w:t>данными деятельности организации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>;</w:t>
      </w:r>
    </w:p>
    <w:p w14:paraId="2164152A">
      <w:pP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>- приобретение навыков практической работы, изучение функций экономических служб и отделов предприятия;</w:t>
      </w:r>
    </w:p>
    <w:p w14:paraId="178CBD09">
      <w:pP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>- сбор, систематизация и анализ фактической информации по теме дипломной работы для ее дальнейшего использования.</w:t>
      </w:r>
    </w:p>
    <w:p w14:paraId="0D3CAE68">
      <w:pP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Практика проходила в </w:t>
      </w:r>
      <w:r>
        <w:rPr>
          <w:rFonts w:ascii="Times New Roman" w:hAnsi="Times New Roman" w:cs="Times New Roman"/>
          <w:sz w:val="28"/>
          <w:szCs w:val="28"/>
        </w:rPr>
        <w:t>УЗ «11-я городская клиническая больница»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 с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  <w:t>21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  <w:t>10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>.202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  <w:t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  <w:t>07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  <w:t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>2.20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  <w:t>4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3 года. </w:t>
      </w:r>
    </w:p>
    <w:p w14:paraId="06EA7EB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46ACF715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1 Организационно-правовая характеристика организации</w:t>
      </w:r>
    </w:p>
    <w:p w14:paraId="5877A04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B7A47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здравоохранения «11-я городская клиническая больница» является государственным лечебно-профилактическим учреждением здравоохранения, основанным на коммунальной форме собственности. Свою деятельность осуществляет на основании Устава, утвержденного решением Минского городского исполнительного комитета от 24,05,07г. №1165  Вышестоящей организацией является комитет здравоохранения Минского горисполкома.</w:t>
      </w:r>
    </w:p>
    <w:p w14:paraId="202C508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 «11-я городская клиническая больница» является самостоятельным лечебно-профилактическим учреждением, пользуется правами юридического лица, состоит на государственном бюджетном финансировании, имеет самостоятельный баланс, штамп с обозначением своего наименования и гербовую печать.</w:t>
      </w:r>
    </w:p>
    <w:p w14:paraId="5F1A1DD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 «11-я городская клиническая больница» осуществляет свою деятельность в соответствии с действующим законодательством Республики Беларусь, приказами Министерства здравоохранения Республики Беларусь, комитета здравоохранения Минского горисполкома.</w:t>
      </w:r>
    </w:p>
    <w:p w14:paraId="07F79B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УЗ «11-я городская клиническая больница»  оказывают высококвалифицированную специализированную медицинскую помощь  населению региона (лицензия № 02040/0571258).</w:t>
      </w:r>
    </w:p>
    <w:p w14:paraId="4112B6B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учреждение здравоохранения «11-я городская клиническая больница» это современное, многопрофильное, хорошо оснащенное лечебно-профилактическое учреждение по организации и оказанию круглосуточной, своевременной, высококвалифицированной и специализированной медицинской помощи гражданам г. Минска, а также гражданам Республики Беларусь и иностранным гражданам в соответствии с действующими нормативно-правовыми документами и Уставом клиники (регистрация ЕГР №100050751 от 36.07.2007 №1662.</w:t>
      </w:r>
    </w:p>
    <w:p w14:paraId="5F8614B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 Республика Беларусь, Октябрьский район, г. Минск, ул. Корженевского, дом 4.</w:t>
      </w:r>
    </w:p>
    <w:p w14:paraId="6EB5707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собственности - государственная. </w:t>
      </w:r>
    </w:p>
    <w:p w14:paraId="5A9AA90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является юридическим лицом , имеет самостоятельный баланс, расчетный и другие счета в учреждениях банка , печать с изображением государственного герба Республики Беларусь и со своим наименованием, штамп.</w:t>
      </w:r>
    </w:p>
    <w:p w14:paraId="36A9056A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>Руководство больницей осуществляет главный врач, который имеет заместителей. В многопрофильных больницах могут вводится должности заместителя главного врача по отдельным направлениям работы (по медицинской части, по хирургии, по организационно-методической работе, по экспертизе трудоспособности, по хозяйственной работе, по внебюджетной деятельности, по гражданской обороне).</w:t>
      </w:r>
    </w:p>
    <w:p w14:paraId="271A7E08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>Структурной единицей больницы является отделение, которое возглавляет заведующий.</w:t>
      </w:r>
    </w:p>
    <w:p w14:paraId="05F81F3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Штатная численность персонала 615 сотрудников, в том числе 98 врачей, из них – 3 кандидата медицинских наук, 32,2% врачей с высшей категорией, 34,3% – с первой категорией и 13,5% – со второй. Средних медицинских работников – 183 человека. Среди них аттестовано 74%, из них имеют: высшую квалификационную категорию – 7,2%, первую – 43%, вторую – 23,8%.</w:t>
      </w:r>
    </w:p>
    <w:p w14:paraId="1AD326B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структуре клиники имеются лечебные отделения:</w:t>
      </w:r>
    </w:p>
    <w:p w14:paraId="31807C1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хирургическое;</w:t>
      </w:r>
    </w:p>
    <w:p w14:paraId="292466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реабилитационное неврологическое;</w:t>
      </w:r>
    </w:p>
    <w:p w14:paraId="747389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реабилитационное кардиологическое;</w:t>
      </w:r>
    </w:p>
    <w:p w14:paraId="0F6C152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реабилитационное травматолого-ортопедическое;</w:t>
      </w:r>
    </w:p>
    <w:p w14:paraId="407565D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микрохирургии глаза;</w:t>
      </w:r>
    </w:p>
    <w:p w14:paraId="72D0EB0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оториноларингологическое;</w:t>
      </w:r>
    </w:p>
    <w:p w14:paraId="53D56A6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челюстно-лицевой хирургии;</w:t>
      </w:r>
    </w:p>
    <w:p w14:paraId="3D5F927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челюстно-лицевой хирургии (гнойное);</w:t>
      </w:r>
    </w:p>
    <w:p w14:paraId="168296A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анестезиологии реаниматологии и интенсивной терапии;</w:t>
      </w:r>
    </w:p>
    <w:p w14:paraId="2ADB549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приемное,</w:t>
      </w:r>
    </w:p>
    <w:p w14:paraId="3B484A3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параклинические структурные подразделения:</w:t>
      </w:r>
    </w:p>
    <w:p w14:paraId="5F531BE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рентгенологическое отделение;</w:t>
      </w:r>
    </w:p>
    <w:p w14:paraId="12617E0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отделение УЗД;</w:t>
      </w:r>
    </w:p>
    <w:p w14:paraId="412C8C9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отделение функциональное диагностики;</w:t>
      </w:r>
    </w:p>
    <w:p w14:paraId="651B341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эндоскопический кабинет;</w:t>
      </w:r>
    </w:p>
    <w:p w14:paraId="5FAADE2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клинико-диагностическая лаборатория;</w:t>
      </w:r>
    </w:p>
    <w:p w14:paraId="391A538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физиотерапевтическое отделение.</w:t>
      </w:r>
    </w:p>
    <w:p w14:paraId="3DE90BF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функции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07C49B6">
      <w:pPr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первой, неотложной медицинской помощи больным при острых и внезапных заболеваниях , травмах, отравлениях и других несчастных случаях .</w:t>
      </w:r>
    </w:p>
    <w:p w14:paraId="2B249C31">
      <w:pPr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квалифицированной лечебно- диагностической помощи жителям г.Минска и Республики Беларусь в пределах своей компетенции и плановых заданий комитета по здравоохранению Мингорисполкома..</w:t>
      </w:r>
    </w:p>
    <w:p w14:paraId="3688CBCF">
      <w:pPr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Диагностика, лечение больных травматологического ( Республиканского центра микрохирургии кисти), ортопедического ( взрослым и детям ) профилей</w:t>
      </w:r>
    </w:p>
    <w:p w14:paraId="38FF8D08">
      <w:pPr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Диагностика, лечение больных гастроэнтерологического, пульмонологического , кардиологического и ревматологического профилей</w:t>
      </w:r>
    </w:p>
    <w:p w14:paraId="3ED234A9">
      <w:pPr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Хирургическая помощь экстренная и плановая.,</w:t>
      </w:r>
    </w:p>
    <w:p w14:paraId="213B1F8C">
      <w:pPr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Диагностика, лечение больных гинекологического профиля</w:t>
      </w:r>
    </w:p>
    <w:p w14:paraId="573B6219">
      <w:pPr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Реабилитация больных : физиотерапия, лечебная физкультура.</w:t>
      </w:r>
    </w:p>
    <w:p w14:paraId="1C2F4881">
      <w:pPr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Компьютерная томография.</w:t>
      </w:r>
    </w:p>
    <w:p w14:paraId="5CFD3429">
      <w:pPr>
        <w:numPr>
          <w:ilvl w:val="0"/>
          <w:numId w:val="1"/>
        </w:numPr>
        <w:tabs>
          <w:tab w:val="left" w:pos="993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повышению квалификации сотрудников.</w:t>
      </w:r>
    </w:p>
    <w:p w14:paraId="4203C44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 «11-я ГКБ»  является многопрофильной клинической больницей с мощностью коечного фонда 552 койки. В составе клиники имеется хозрасчетное отделение  сестринского ухода с коечным фондом 10коек . В учреждении УЗ «11-я городская клиническая больница» функционирует отделение паллиативной медицинской помощи «Хоспис» на 30 коек с выездной службой. Отделение открыто 15.11.2011г. в целях улучшения качества жизни и социальной защищенности граждан, страдающих онкологическими и тяжелыми хроническими заболеваниями с неблагоприятным ближайшим прогнозом и улучшения доступности паллиативной медицинской помощи населению г. Минска. Финансовое обеспечение Хосписа осуществляет государство, а также добровольные пожертвования от организаций и частных лиц.</w:t>
      </w:r>
    </w:p>
    <w:p w14:paraId="0B88231C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ED122B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42DB03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E15EA7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42E9C9B5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2 Нормативно-правовая база организации</w:t>
      </w:r>
    </w:p>
    <w:p w14:paraId="7493C179">
      <w:pPr>
        <w:spacing w:after="0" w:line="48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333B3C4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национального законодательства в области охраны здоровья - одно из основных направлений развития отечественного здравоохранения, поскольку законодательное обеспечение ‒ это отражение государственной политики в данной сфере [1, с. 11].</w:t>
      </w:r>
    </w:p>
    <w:p w14:paraId="028386A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1300 действующих в здравоохранении Республики Беларусь нормативных правовых актов основными являются законы, определяющие принципы деятельности и пути развития национальной системы здравоохранения, регламентирующие эту деятельность, а также гарантирующие населению страны право на получение доступной медицинской помощи.</w:t>
      </w:r>
    </w:p>
    <w:p w14:paraId="0AD22E0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развитие современной системы здравоохранения республики наибольшее влияние оказывает Закон Республики Беларусь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О здравоохранении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в котором правовые нормы охраны здоровья населения охватывают не только систему здравоохранения, но и общественные отношения.</w:t>
      </w:r>
    </w:p>
    <w:p w14:paraId="3C3CAF9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Законы Республики Беларусь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О лекарственных средствах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О психиатрической помощи и гарантиях прав граждан при ее оказании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О донорстве крови и ее компонентов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О трансплантации органов и тканей человека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О санитарно-эпидемическом благополучии населения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О наркотических средствах, психотропных веществах и их прекурсорах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регулируют межотраслевые взаимоотношения.</w:t>
      </w:r>
    </w:p>
    <w:p w14:paraId="2CA516F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законы Республики Беларусь, регулирующие деятельность в иных областях общественной жизни, содержат нормы, относящиеся к предмету правового регулирования законодательства в области здравоохранения. </w:t>
      </w:r>
    </w:p>
    <w:p w14:paraId="7F28232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Закон Республики Беларусь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О государственных минимальных социальных стандартах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 социальные стандарты в области здравоохранения. Закон Республики Беларусь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О социальной защите граждан, пострадавших от катастрофы на Чернобыльской АЭС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включает ряд положений по медицинскому обслуживанию граждан. Закон Республики Беларусь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О качестве и безопасности продовольственного сырья и пищевых продуктов для жизни и здоровья человека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принятый в 2003 г., определяет государственную политику в этой области.</w:t>
      </w:r>
    </w:p>
    <w:p w14:paraId="41D9B01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законов, нормативная правовая база в области здравоохранения включает 24 указа и декрета Президента Республики Беларусь, свыше 200 постановлений Совета Министров Республики Беларусь, свыше 500 постановлений и приказов Министерства здравоохранения Республики Беларусь, которыми утверждены программы мероприятий и долгосрочных мер по улучшению состояния здоровья населения республики, оптимизации системы управления здравоохранением и созданию гарантий для населения в получении доступной и качественной медицинской помощи.</w:t>
      </w:r>
    </w:p>
    <w:p w14:paraId="574628A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 создания национального законодательства начался в 90-е годы прошлого века после распада СССР и сопровождает модернизацию здравоохранения нашей страны, поскольку совершенствование системы здравоохранения невозможно без использования современных информационных, технических и управленческих возможностей, включая нормативное правовое регулирование деятельности отрасли.</w:t>
      </w:r>
    </w:p>
    <w:p w14:paraId="399303A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Реформы нормативного правового регулирования здравоохранения охватывают его финансирование, подготовку кадров, организацию первичной медико-санитарной, специализированной медицинской помощи, управление научными исследованиями, разработку и реализацию программно-целевых мероприятий и др. [6, с. 24].</w:t>
      </w:r>
    </w:p>
    <w:p w14:paraId="0634ACF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своей деятельности организация руководствуется Регламентом.</w:t>
      </w:r>
    </w:p>
    <w:p w14:paraId="632505A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Регламент устанавливает порядок оказания медицинской помощи в учреждении здравоохранения. </w:t>
      </w:r>
    </w:p>
    <w:p w14:paraId="1E56EA4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Регламентом устанавливаются обязательные требования, обеспечивающие необходимый уровень качества и доступности медицинской помощи в целом, а также на каждом этапе ее предоставления.</w:t>
      </w:r>
    </w:p>
    <w:p w14:paraId="076777E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Первичная и специализированная медицинская помощь населению оказывается по территориальному принципу непосредственно в учреждении здравоохранения или на дому. Согласно участково-территориальному принципу обслуживания население, проживающее на территории обслуживания </w:t>
      </w:r>
      <w:r>
        <w:rPr>
          <w:rFonts w:ascii="Times New Roman" w:hAnsi="Times New Roman" w:cs="Times New Roman"/>
          <w:sz w:val="28"/>
          <w:szCs w:val="28"/>
          <w:lang w:val="ru-RU"/>
        </w:rPr>
        <w:t>больницы</w:t>
      </w:r>
      <w:r>
        <w:rPr>
          <w:rFonts w:ascii="Times New Roman" w:hAnsi="Times New Roman" w:cs="Times New Roman"/>
          <w:sz w:val="28"/>
          <w:szCs w:val="28"/>
        </w:rPr>
        <w:t>, для получения медицинской помощи закреплено за врачом-терапевтом участковым (врачом общей практики).</w:t>
      </w:r>
    </w:p>
    <w:p w14:paraId="276E6F1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медицинской помощи в учреждении здравоохранения осуществляется по закреплению граждан по месту жительства.</w:t>
      </w:r>
    </w:p>
    <w:p w14:paraId="52A7BCD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оказания медицинской помощи гражданам Республики Беларусь вне их места жительства (места пребывания) определяется постановлением Министерства здравоохранения Республики Беларусь от 22.12.2008 № 229 «Об утверждении инструкции о порядке оказания медицинской помощи гражданам Республики Беларусь вне их места жительства (места пребывания) и признании утратившим силу постановления Министерства здравоохранения Республики Беларусь от 10.06.2002 № 29».</w:t>
      </w:r>
    </w:p>
    <w:p w14:paraId="0804398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Медицинская помощь в учреждениях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оказывается в соответствии с клиническими протоколами, утвержденными Министерством здравоохранения Республики Беларусь.</w:t>
      </w:r>
    </w:p>
    <w:p w14:paraId="251FDD7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Гарантированный объем и виды бесплатной медицинской помощи предоставляются населению в соответствии с Территориальной программой государственных гарантий по обеспечению медицинским обслуживанием населения.</w:t>
      </w:r>
    </w:p>
    <w:p w14:paraId="527EF30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Платные медицинские услуги и услуги по добровольному медицинскому страхованию предоставляются в учреждении здравоохранения «11-я городская </w:t>
      </w:r>
      <w:r>
        <w:rPr>
          <w:rFonts w:ascii="Times New Roman" w:hAnsi="Times New Roman" w:cs="Times New Roman"/>
          <w:sz w:val="28"/>
          <w:szCs w:val="28"/>
          <w:lang w:val="ru-RU"/>
        </w:rPr>
        <w:t>больница</w:t>
      </w:r>
      <w:r>
        <w:rPr>
          <w:rFonts w:ascii="Times New Roman" w:hAnsi="Times New Roman" w:cs="Times New Roman"/>
          <w:sz w:val="28"/>
          <w:szCs w:val="28"/>
        </w:rPr>
        <w:t>» в рамках договоров с гражданами или организациями на оказание медицинских услуг сверх гарантированного объема бесплатной медицинской помощи.</w:t>
      </w:r>
    </w:p>
    <w:p w14:paraId="054BB6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Представлены действующие нормативные правовые акты, прошедшие регистрацию в Министерстве юстиции Республики Беларусь и внесенные в Национальный реестр нормативных правовых актов Республики Беларусь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449D51EF">
      <w:pPr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Республики Беларусь </w:t>
      </w:r>
    </w:p>
    <w:p w14:paraId="625D0CDF">
      <w:pPr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8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Закон Республики Беларусь о здравоохранении</w:t>
      </w:r>
    </w:p>
    <w:p w14:paraId="26C3B90E">
      <w:pPr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8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Постановление Министерства здравоохранения Республики Беларусь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Об увертсждении перечня лекарственных основных средств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3D9F1318">
      <w:pPr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8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Постановление Министерства здравоохранения Республики Беларусь «</w:t>
      </w:r>
      <w:r>
        <w:rPr>
          <w:rFonts w:ascii="Times New Roman" w:hAnsi="Times New Roman" w:cs="Times New Roman"/>
          <w:sz w:val="28"/>
          <w:szCs w:val="28"/>
        </w:rPr>
        <w:t>Об организации диспансерного наблюдения за здоровьем населения Республики Беларусь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1AAC64BA">
      <w:pPr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8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Постановление Министерства здравоохранения Республики Беларусь </w:t>
      </w:r>
      <w:r>
        <w:rPr>
          <w:rFonts w:ascii="Times New Roman" w:hAnsi="Times New Roman" w:cs="Times New Roman"/>
          <w:sz w:val="28"/>
          <w:szCs w:val="28"/>
        </w:rPr>
        <w:t>« Об утверждении инструкции о порядке оказания медицинской помощи гражданам Республики Беларусь вне места проживания (места пребывания)»</w:t>
      </w:r>
    </w:p>
    <w:p w14:paraId="62A0E15A">
      <w:pPr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8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Закон Республики Беларусь «Об оказании психологической помощи»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50F212DC">
      <w:pPr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8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Закон Республики Беларусь «О наркотических средствах, психотропных веществах, их прекурсорах и аналогах»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71CA619A">
      <w:pPr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8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Закон Республики Беларусь «Об обращениях граждан и юридических лиц»</w:t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7C0F4F6C">
      <w:pPr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"https://www.ggkb3.by/images/otd/pravo/Obr_dop.doc" </w:instrText>
      </w:r>
      <w:r>
        <w:fldChar w:fldCharType="separate"/>
      </w:r>
      <w:r>
        <w:rPr>
          <w:rStyle w:val="28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Указ Президента Республики Беларусь «О дополнительных мерах по работе с обращениями граждан и юридических лиц»</w:t>
      </w:r>
      <w:r>
        <w:rPr>
          <w:rStyle w:val="28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7266D373">
      <w:pPr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"https://www.ggkb3.by/images/otd/pravo/Ukaz_adm_proc.rar" </w:instrText>
      </w:r>
      <w:r>
        <w:fldChar w:fldCharType="separate"/>
      </w:r>
      <w:r>
        <w:rPr>
          <w:rStyle w:val="28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Указ Президента Республики Беларусь «Об оформлении процедур, официальных международных организаций и иных организаций по заявлениям гражданам»</w:t>
      </w:r>
      <w:r>
        <w:rPr>
          <w:rStyle w:val="28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 </w:t>
      </w:r>
    </w:p>
    <w:p w14:paraId="6DCACE4C">
      <w:pPr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"https://www.ggkb3.by/images/otd/pravo/Tarify_plat.doc" </w:instrText>
      </w:r>
      <w:r>
        <w:fldChar w:fldCharType="separate"/>
      </w:r>
      <w:r>
        <w:rPr>
          <w:rStyle w:val="28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Постановление Министерства здравоохранения Республики Беларусь «Об утверждении инструкции о порядке регулирования тарифов на платные медицинские услуги и признании утративших силу некоторых постановлений Министерства здравоохранения Республики Беларусь»</w:t>
      </w:r>
      <w:r>
        <w:rPr>
          <w:rStyle w:val="28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   </w:t>
      </w:r>
    </w:p>
    <w:p w14:paraId="18592CA1">
      <w:pPr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"https://www.ggkb3.by/images/stories/%D0%93%D0%BE%D1%81%D0%BF%D1%80%D0%BE%D0%B3%D1%80%D0%B0%D0%BC%D0%BC%D0%B0%20%D0%BE%20%D0%B1%D0%B5%D0%B7%D0%B1%D0%B0%D1%80%D1%8C%D0%B5%D1%80%D0%BD%D0%BE%D0%B9%20%D1%81%D1%80%D0%B5%D0%B4%D0%B5.doc" </w:instrText>
      </w:r>
      <w:r>
        <w:fldChar w:fldCharType="separate"/>
      </w:r>
      <w:r>
        <w:rPr>
          <w:rStyle w:val="28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ГОСУДАРСТВЕННАЯ ПРОГРАММА о социальной защите и сосуществовании занятости населения </w:t>
      </w:r>
      <w:r>
        <w:rPr>
          <w:rStyle w:val="28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fldChar w:fldCharType="end"/>
      </w:r>
    </w:p>
    <w:p w14:paraId="678DE6F0">
      <w:pPr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"http://ggkb1.by/normativnye-pravovye-akty/postanovlenie-ministerstva-zdravoohraneniya-respubliki-belarus-ot-21-fevralya-2023-g-%e2%84%96-35/" </w:instrText>
      </w:r>
      <w:r>
        <w:fldChar w:fldCharType="separate"/>
      </w:r>
      <w:r>
        <w:rPr>
          <w:rStyle w:val="28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ПОСТАНОВЛЕНИЕ МИНИСТЕРСТВА ЗДРАВООХРАНЕНИЯ РЕСПУБЛИКИ БЕЛАРУСЬ от 21 февраля 2023 г. № 35</w:t>
      </w:r>
      <w:r>
        <w:rPr>
          <w:rStyle w:val="28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fldChar w:fldCharType="end"/>
      </w:r>
    </w:p>
    <w:p w14:paraId="49E16D30">
      <w:pPr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"http://ggkb1.by/normativnye-pravovye-akty/postanovlenie-soveta-ministrov-respubliki-belarus-ot-31-avgusta-2022-g-%e2%84%96-572/" </w:instrText>
      </w:r>
      <w:r>
        <w:fldChar w:fldCharType="separate"/>
      </w:r>
      <w:r>
        <w:rPr>
          <w:rStyle w:val="28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ПОСТАНОВЛЕНИЕ СОВЕТА МИНИСТРОВ РЕСПУБЛИКИ БЕЛАРУСЬ от 31 августа 2022 г. № 572</w:t>
      </w:r>
      <w:r>
        <w:rPr>
          <w:rStyle w:val="28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fldChar w:fldCharType="end"/>
      </w:r>
    </w:p>
    <w:p w14:paraId="6826A8C5">
      <w:pPr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"http://ggkb1.by/normativnye-pravovye-akty/postanovlenie-ministerstva-obrazovaniya-respubliki-belarus-ot-17-avgusta-2022-g-%e2%84%96-268/" </w:instrText>
      </w:r>
      <w:r>
        <w:fldChar w:fldCharType="separate"/>
      </w:r>
      <w:r>
        <w:rPr>
          <w:rStyle w:val="28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ПОСТАНОВЛЕНИЕ МИНИСТЕРСТВА ОБРАЗОВАНИЯ РЕСПУБЛИКИ БЕЛАРУСЬ от 17 августа 2022 г. № 268</w:t>
      </w:r>
      <w:r>
        <w:rPr>
          <w:rStyle w:val="28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fldChar w:fldCharType="end"/>
      </w:r>
    </w:p>
    <w:p w14:paraId="2E2581B5">
      <w:pPr>
        <w:numPr>
          <w:ilvl w:val="0"/>
          <w:numId w:val="2"/>
        </w:numPr>
        <w:tabs>
          <w:tab w:val="left" w:pos="1134"/>
        </w:tabs>
        <w:spacing w:after="0" w:line="36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"http://ggkb1.by/normativnye-pravovye-akty/kodeks-respubliki-belarus-ob-obrazovanii-ot-13-yanvarya-2011-%e2%84%96-243-z/" </w:instrText>
      </w:r>
      <w:r>
        <w:fldChar w:fldCharType="separate"/>
      </w:r>
      <w:r>
        <w:rPr>
          <w:rStyle w:val="28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КОДЕКС РЕСПУБЛИКИ БЕЛАРУСЬ ОБ ОБРАЗОВАНИИ от 13 января 2011 № 243-З</w:t>
      </w:r>
      <w:r>
        <w:rPr>
          <w:rStyle w:val="28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fldChar w:fldCharType="end"/>
      </w:r>
    </w:p>
    <w:p w14:paraId="58012910">
      <w:pPr>
        <w:spacing w:after="0" w:line="360" w:lineRule="exact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br w:type="textWrapping"/>
      </w:r>
    </w:p>
    <w:p w14:paraId="1E2D17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33C2BF4">
      <w:pPr>
        <w:tabs>
          <w:tab w:val="left" w:pos="709"/>
        </w:tabs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3 Анализ внутренней и внешней среды функционирования организации</w:t>
      </w:r>
    </w:p>
    <w:p w14:paraId="26428360">
      <w:pPr>
        <w:tabs>
          <w:tab w:val="left" w:pos="709"/>
        </w:tabs>
        <w:spacing w:after="0" w:line="48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76E04E3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Внешняя среда организации определяется как факторы ее внешнего окружения, которые имеют непосредственное отношение к функционированию организации. В наше время внешняя среда изучается не менее тщательно, чем внутренняя. Как и факторы внутренней среды, факторы внешнего окружения взаимосвязаны. Под взаимосвязанностью факторов внешней среды понимается уровень силы, с которой изменение одного фактора воздействует на другие факторы. Так же, как изменение любой внутренней переменной может сказываться на других, изменение одного фактора окружения может обусловливать изменение других.</w:t>
      </w:r>
    </w:p>
    <w:p w14:paraId="7134354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Внешние коммуникации УЗ «</w:t>
      </w: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-я ГКБ» осуществляет путем взаимодействия с организациями здравоохранения и с другими заинтересованными организациями с целью обеспечения выполнения миссии и политики в области качества учреждения </w:t>
      </w:r>
    </w:p>
    <w:p w14:paraId="50B8368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Поликлиники и больницы г. Минска, РНПЦ, БелМАПО, Городской Центр «Здоровье», ГУ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</w:rPr>
        <w:t>Минский городской центр гигиены и эпидемиологии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районные ЦГиЭ, городские диспансеры, патологоанатомическое бюро, организации, осуществляющие фармацевтическую деятельность. </w:t>
      </w:r>
    </w:p>
    <w:p w14:paraId="5602FDA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взаимодействия УЗ «</w:t>
      </w: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-я ГКБ» с медицинскими организациями являются: </w:t>
      </w:r>
    </w:p>
    <w:p w14:paraId="1B0466B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своевременный и полный обмен информацией по вопросам медицинской помощи и санитарно-эпидемиологического благополучия; </w:t>
      </w:r>
    </w:p>
    <w:p w14:paraId="773E1D1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совместное планирование и проведение мероприятий, направленных на улучшение медицинской помощи населению и санитарно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эпидемиологического благополучия населения; </w:t>
      </w:r>
    </w:p>
    <w:p w14:paraId="63E0E97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соблюдение необходимой преемственности в ведении больных между врачами всех специальностей, а также между всеми уровнями оказания медицинской помощи. </w:t>
      </w:r>
    </w:p>
    <w:p w14:paraId="60F0B9C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Преемственность в деятельности организаций здравоохранения предусматривает принципы прямой и обратной связи и осуществляется путем: </w:t>
      </w:r>
    </w:p>
    <w:p w14:paraId="03E2917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взаимодействия с организациями, оказывающими специализированные виды медицинской помощи (онкодиспансеры, тубдиспансеры, наркодиспансеры, психиатрические диспансеры, кожвендиспансеры, центр СПИД), для раннего выявления, предотвращения запущенности заболевания и своевременной передаче информации о соматических заболеваниях, требующих взятия на диспансерный учет и лечения; </w:t>
      </w:r>
    </w:p>
    <w:p w14:paraId="1FB6927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 взаимодействия с организациями здравоохранения, осуществляющими деятельность в области формирования здорового образа жизни, с целью обеспечения пропаганды и формирования здорового образа жизни, здорового питания и профилактики заболеваний путем информационного обеспечения, гигиенического обучения и воспитания населения в вопросах укрепления здоровья и предупреждения болезней; </w:t>
      </w:r>
    </w:p>
    <w:p w14:paraId="161FDA2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1.4.3. взаимодействия с организациями, осуществляющими деятельность в сфере службы крови, для обеспечения и создания запаса крови и ее компонентов; </w:t>
      </w:r>
    </w:p>
    <w:p w14:paraId="3AF98E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1.4.4. взаимодействия с организациями, осуществляющими деятельность в сфере судебной медицины и патологической анатомии; </w:t>
      </w:r>
    </w:p>
    <w:p w14:paraId="64C2F0F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1.4.5. взаимодействия с организациями здравоохранения, осуществляющими фармацевтическую деятельность:  обеспечения населения безопасными, эффективными и качественными лекарственными средствами, изделиями медицинского назначения и медицинской техники;  информирования о фактах проявления особенностей взаимодействия лекарственного средства с другими лекарственными средствами и побочных действиях, в том числе не указанных в инструкции по применению. </w:t>
      </w:r>
    </w:p>
    <w:p w14:paraId="50C70C7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1.4.6. взаимодействия с организациями здравоохранения, осуществляющими деятельность в сфере санитарно-эпидемиологического благополучия населения: </w:t>
      </w:r>
      <w:r>
        <w:rPr>
          <w:rFonts w:ascii="Times New Roman" w:hAnsi="Times New Roman" w:cs="Times New Roman"/>
          <w:sz w:val="28"/>
          <w:szCs w:val="28"/>
        </w:rPr>
        <w:sym w:font="Symbol" w:char="F0D8"/>
      </w:r>
      <w:r>
        <w:rPr>
          <w:rFonts w:ascii="Times New Roman" w:hAnsi="Times New Roman" w:cs="Times New Roman"/>
          <w:sz w:val="28"/>
          <w:szCs w:val="28"/>
        </w:rPr>
        <w:t xml:space="preserve"> сообщения при подозрении и установлении инфекционных заболеваний, отравлений, представляющих опасность для окружающих; </w:t>
      </w:r>
      <w:r>
        <w:rPr>
          <w:rFonts w:ascii="Times New Roman" w:hAnsi="Times New Roman" w:cs="Times New Roman"/>
          <w:sz w:val="28"/>
          <w:szCs w:val="28"/>
        </w:rPr>
        <w:sym w:font="Symbol" w:char="F0D8"/>
      </w:r>
      <w:r>
        <w:rPr>
          <w:rFonts w:ascii="Times New Roman" w:hAnsi="Times New Roman" w:cs="Times New Roman"/>
          <w:sz w:val="28"/>
          <w:szCs w:val="28"/>
        </w:rPr>
        <w:t xml:space="preserve"> проведения совместных санитарно-противоэпидемических мероприятий по локализации, купированию групповых заболеваний, недопущения дальнейшего распространения инфекций, создания запаса вакцины и организации контроля проведения иммунопрофилактики. </w:t>
      </w:r>
    </w:p>
    <w:p w14:paraId="6E8ED7A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1.4.7. Обеспечение организациями здравоохранения ведения первичных медицинских документов, предоставление отчетов по формам, видам. </w:t>
      </w:r>
    </w:p>
    <w:p w14:paraId="2A7E966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1.4.8. Иные вопросы, возникающие при взаимодействии и находящиеся вне компетенции субъекта здравоохранения, решаются путем принятия совместных решений, либо путем внесения предложений в вышестоящие органы государственного управления здравоохранением. </w:t>
      </w:r>
    </w:p>
    <w:p w14:paraId="408CE0C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взаимодействие в УЗ «</w:t>
      </w: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sz w:val="28"/>
          <w:szCs w:val="28"/>
        </w:rPr>
        <w:t>-я ГКБ» обеспечивают: главный врач, заместители главного врача, юрисконсульт, заведующие лечебно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диагностических отделений, врач-эпидемиолог в соответствии с установленными компетенциями. </w:t>
      </w:r>
    </w:p>
    <w:p w14:paraId="7B904F1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Поставщики услуг по аутсорсингу, материалов, лекарственных средств и изделий медицинского назначения: «Белфармация» (обеспечение лекарственными средствами и изделиями медицинского назначения); клининговая компания «Зауберклиник» (уборка); УП «Медик» (текущий ремонт электрики, сантехники); УП «Витамин» (питание пациентов); УП «Чайка» (стирка белья); РУП «Белмедтехника» (обеспечение медицинской техникой и изделиями медицинского назначения); РУП "Медтехноцентр": (техническое обслуживание медицинской техники), ООО «Экорес» (вывоз и утилизация отходов), другие организации, осуществляющие поставку продукции и услуг на договорной основе. </w:t>
      </w:r>
    </w:p>
    <w:p w14:paraId="0CFA301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взаимодействия с поставщиками является обеспечение необходимыми лекарственными средствами, изделиями медицинского назначения, материально - техническими ресурсами для поддержания безопасной производственной среды, эффективного функционирования всех элементов инфраструктуры и лечебно-диагностических процессов.</w:t>
      </w:r>
    </w:p>
    <w:p w14:paraId="4E4F0FC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система закупок лекарственных средств является централизованной, организуется и координируется МЗ РБ в лице отдела организации лекарственного обеспечения. Техническое обеспечение закупок осуществляет РУП «Белфармация» и «Белмедтехника».</w:t>
      </w:r>
    </w:p>
    <w:p w14:paraId="117955C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задачи лекарственного и материально-технического обеспечения: </w:t>
      </w:r>
    </w:p>
    <w:p w14:paraId="56B90C9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Закупка оптимальной номенклатуры лекарственных средств, услуг материалов и технических средств по соотношению эффективность/цена </w:t>
      </w:r>
    </w:p>
    <w:p w14:paraId="2E0252A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Оценка и отбор надежных поставщиков качественной продукции. </w:t>
      </w:r>
    </w:p>
    <w:p w14:paraId="53077DB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Обеспечение своевременной поставки продукции и услуг. </w:t>
      </w:r>
    </w:p>
    <w:p w14:paraId="6777DCF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Обеспечение непрерывного потока лекарственных средств и изделий медицинского назначения. </w:t>
      </w:r>
    </w:p>
    <w:p w14:paraId="23C1936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Взаимовыгодные отношения с поставщиками обеспечиваются налаживанием партнерских отношений, сотрудничеством и заинтересованностью каждой из сторон в точном исполнении договорных обязательств. </w:t>
      </w:r>
    </w:p>
    <w:p w14:paraId="0D403D8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взаимодействие в УЗ «</w:t>
      </w: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-я ГКБ» обеспечивают: главный врач, заместитель главного врача по ХОП, комиссии оп закупкам, начальник ОМТС, зав. аптекой, главный бухгалтер, юрисконсульт, начальник технической службы, инженер по медицинскому оборудованию и метрологии в соответствии с установленными компетенциями. </w:t>
      </w:r>
    </w:p>
    <w:p w14:paraId="4E5507E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Регулирующие и надзорные организации: Минздрав РБ, КЗ Мингорисполкома, ЦГиЭ Ленинского района, г.Минска, БелГИС, РОЧС, МВД (Ленинский РОВД), МАРТ, Минфин, Минтруда, БелГИМ. Минздрав РБ и КЗ Мингорисполкома осуществляют координацию и организационно-методическое руководство работой клиники по обеспечению оказания качественной, общедоступной, квалифицированной медицинской (первичной медико-санитарной, стационарной, специализированной) помощи населению.</w:t>
      </w:r>
    </w:p>
    <w:p w14:paraId="4370AC9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задачи взаимодействия с регулирующими и надзорными организациями: </w:t>
      </w:r>
    </w:p>
    <w:p w14:paraId="2861FD8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Выполнение требований законодательства в области здравоохранения. </w:t>
      </w:r>
    </w:p>
    <w:p w14:paraId="1D53E30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Обеспечение безопасной среды для пациентов. </w:t>
      </w:r>
    </w:p>
    <w:p w14:paraId="62F9C3E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Обеспечение безопасных условий труда для персонала больницы. </w:t>
      </w:r>
    </w:p>
    <w:p w14:paraId="094F359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Обеспечение необходимого бюджетного финансирования. </w:t>
      </w:r>
    </w:p>
    <w:p w14:paraId="606C4B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Поддержание и совершенствование СМК и метрологическое обеспечение. </w:t>
      </w:r>
    </w:p>
    <w:p w14:paraId="5D160C2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 Контроль за рациональным использованием материальных и финансовых средств. </w:t>
      </w:r>
    </w:p>
    <w:p w14:paraId="4633815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 Профилактика коррупционных проявлений и финансовых злоупотреблений. </w:t>
      </w:r>
    </w:p>
    <w:p w14:paraId="2B69B5C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взаимодействие в УЗ «</w:t>
      </w: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-я ГКБ» обеспечивают: главный врач, заместители главного врача, общественные комиссии, главный бухгалтер, начальник планово-экономического отдела, юрисконсульт, инженер по охране труда, начальник штаба ГО в соответствии с установленными компетенциями. </w:t>
      </w:r>
    </w:p>
    <w:p w14:paraId="4E28BD4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Общественные организации: Городской Центр «Здоровье», Красный крест, СМИ, Общественное объединение «Белорусская ассоциация врачей» (ОО «БАВ»), Белорусский профессиональный союз работников здравоохранения, страховые компании. Общественные объединения совместно с системами здравоохранения участвуют в обеспечении защиты профессиональных прав медицинских работников и конституционных гарантий граждан в получении медико-социальной и лекарственной помощи </w:t>
      </w:r>
    </w:p>
    <w:p w14:paraId="0EDEF5E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задачи взаимодействия с общественными организациями и объединениями: </w:t>
      </w:r>
    </w:p>
    <w:p w14:paraId="284F976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1.1Содействие деятельности в области охраны здоровья населения и пропаганды здорового образа жизни; </w:t>
      </w:r>
    </w:p>
    <w:p w14:paraId="22F049B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Обеспечение правовой и социальной защиты работников больницы, повышение эффективности мероприятий по охране труда; </w:t>
      </w:r>
    </w:p>
    <w:p w14:paraId="3CDB2F6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 Развитие и распространение благотворительной деятельности в городе Минске. </w:t>
      </w:r>
    </w:p>
    <w:p w14:paraId="5FBC835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. Осуществление психологической и моральной поддержки пациентов медицинских организаций </w:t>
      </w:r>
    </w:p>
    <w:p w14:paraId="111B479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Повышение профессионального уровня врачей различных специальностей путем организации и финансирования их участия в проводимых в Республике Беларусь и за рубежом научно-образовательных программах и мероприятиях (съездах, конференциях, конгрессах, семинарах, симпозиумах и т.д.); </w:t>
      </w:r>
    </w:p>
    <w:p w14:paraId="6DFB82A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 Совершенствование системы оценки качества медицинской помощи и уровня профессиональных навыков врачей и других специалистов; </w:t>
      </w:r>
    </w:p>
    <w:p w14:paraId="43199A6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 Стимулирование научного поиска оптимальных технологий медицинской помощи населению; </w:t>
      </w:r>
    </w:p>
    <w:p w14:paraId="20A06D0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 Содействие развитию медицинского страхования; </w:t>
      </w:r>
    </w:p>
    <w:p w14:paraId="4338782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медицинской организации и общественных объединений осуществляется в соответствии с требованиями законодательства Республики Беларусь. </w:t>
      </w:r>
    </w:p>
    <w:p w14:paraId="120F82E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взаимодействие в УЗ «</w:t>
      </w: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-я ГКБ» обеспечивают: главный врач, заместители главного врача, председатель профкома, общественные комиссии в соответствии с установленными компетенциями. </w:t>
      </w:r>
    </w:p>
    <w:p w14:paraId="6B4CA6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Учреждения образования: медицинские образовательные учреждения, кафедры БГМУ, БелМАПО </w:t>
      </w:r>
    </w:p>
    <w:p w14:paraId="4FDD06C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цель взаимодействия больницы с образовательными медицинскими учреждениями и кафедрами является повышение компетенции, научно-методическое обеспечение, врачей и среднего медицинского персонала, интернатуры и клинической ординатуры. 2. Тесное взаимодействие медицинского учреждения и кафедры БГМУ, БелМАПО обеспечивает опытное внедрение в больнице передовых научных разработок в той или иной сфере. </w:t>
      </w:r>
    </w:p>
    <w:p w14:paraId="0ACDBBE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УЗ «</w:t>
      </w: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-я ГКБ» проводятся экспериментальные исследования — например, оценивается эффективность определенного подхода к лечению больных, собирается статистика на основании проведенных методов диагностики, назначаются новые препараты и т. д. </w:t>
      </w:r>
    </w:p>
    <w:p w14:paraId="6C40718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взаимодействие в УЗ «</w:t>
      </w: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sz w:val="28"/>
          <w:szCs w:val="28"/>
        </w:rPr>
        <w:t>-я ГКБ» обеспечивают: главный врач, заместители главного врача, начальник ОКиПР, зав. отделений в соответствии с установленными компетенциями.</w:t>
      </w:r>
    </w:p>
    <w:p w14:paraId="5695028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Внутренняя среда организации ‒ это ситуационные факторы внутри организации. </w:t>
      </w:r>
    </w:p>
    <w:p w14:paraId="0DADAFF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Внутреннюю среду ГКБ №1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может формировать и изменять главный врач, когда это необходимо. Но для этого он должен уметь выделять и знать внутренние переменные. Внутренние переменные ‒ это ситуационные факторы внутри организации. </w:t>
      </w:r>
    </w:p>
    <w:p w14:paraId="02D4B91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Поскольку организация представляет собой созданную людьми систему, то внутренние переменные в основном являются результатом управленческих решений. Это, однако, вовсе не означает, что все внутренние переменные полностью контролируются руководством. Внутреннюю среду больницы можно рассмотреть, выделяя состав ее элементов и протекающих в ней процессов. К элементам внутренней среды относятся цели, задачи, люди, технологии, информация, структура, организационная культура и другие составляющие. Цели - конкретные, конечные состояния или желаемый результат, которого стремится добиться группа, работая вместе. Основной целью работы как данной, так и большинства организаций является получение прибыли. Прибыль это ключевой показатель организации.</w:t>
      </w:r>
    </w:p>
    <w:p w14:paraId="269041B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ГКБ №1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использует оплату труда как важнейшее средство стимулирования добросовестной работы. </w:t>
      </w:r>
    </w:p>
    <w:p w14:paraId="7F8CC13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заработки работников больни</w:t>
      </w:r>
      <w:r>
        <w:rPr>
          <w:rFonts w:ascii="Times New Roman" w:hAnsi="Times New Roman" w:cs="Times New Roman"/>
          <w:sz w:val="28"/>
          <w:szCs w:val="28"/>
          <w:lang w:val="ru-RU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ы определяются их личным трудовым вкладом, качеством труда, результатами производственно-хозяйственной деятельности фирмы и максимальным размером не ограничиваются. В качестве базы используется тарифная система оплаты труда. Заработная плата работников складывается из: должностного оклада, доплат, премий. Заработная плата выплачивается в сроки: 8 числа каждого месяца. </w:t>
      </w:r>
    </w:p>
    <w:p w14:paraId="558DBF1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оплате труда работников применяется повременная оплата, согласно окладам, утвержденных в штатном расписании, размер которых зависит от сложности выполняемой работы и тарифных разрядов. </w:t>
      </w:r>
    </w:p>
    <w:p w14:paraId="2FCC32F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должностным окладам работников установлены следующие доплаты: </w:t>
      </w:r>
    </w:p>
    <w:p w14:paraId="5E27964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доплата за совмещение профессий (должностей), расширение зоны обслуживания, увеличение объема выполняемых работ в размере, устанавливаемом по соглашению между администрацией и работником; </w:t>
      </w:r>
    </w:p>
    <w:p w14:paraId="14E837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доплата за работу в вечерние и ночные часы - в размерах и порядке, предусмотренных законодательством о труде; </w:t>
      </w:r>
    </w:p>
    <w:p w14:paraId="548C7E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доплата за сверхурочную работу; </w:t>
      </w:r>
    </w:p>
    <w:p w14:paraId="300337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· доплата за выходные и праздничные дни. </w:t>
      </w:r>
    </w:p>
    <w:p w14:paraId="55CD2DE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Конкретные размеры доплат устанавливаются администрацией больницы предприятия в зависимости от конкретных условий (степени тяжести работ, объема работы, ее важности для больницы, уровня профессионализма работника и др.) </w:t>
      </w:r>
    </w:p>
    <w:p w14:paraId="6BA9A19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о мотивации в целом как о системе стимулирования труда, нельзя не отметить тот факт, что помимо позитивных форм повышения эффективности труда, существуют и негативные, обычно они представлены различного вида наказаниями или штрафами. </w:t>
      </w:r>
    </w:p>
    <w:p w14:paraId="2521D8F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правило, применение таких отрицательных форм оправдано только в комплексе с позитивными формами. В управлении процессами мотивации труда должна использоваться система поощрений и наказаний.</w:t>
      </w:r>
    </w:p>
    <w:p w14:paraId="429D361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существует ни одной организации, которая не имела бы внешнего окружения и не находилась бы с ним в состоянии постоянного взаимодействия. Любая организация нуждается в регулярном получении из внешней среды исходных продуктов для обеспечения своей жизнедеятельности. При этом каждая организация должна отдавать что-то во внешнюю среду в качестве компенсации за ее существование. Как только рвутся связи с внешней средой, организация погибает. </w:t>
      </w:r>
    </w:p>
    <w:p w14:paraId="77FBF7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внутренней и внешней сред это очень важный для выработки стратегии организации и очень сложный процесс, требующий внимательного отслеживания происходящих в среде процессов, оценки факторов и установления связи между факторами и теми сильными и слабыми сторонами организации, а также возможностями и угрозами, которые заключены во внешней среде. </w:t>
      </w:r>
    </w:p>
    <w:p w14:paraId="7C444934">
      <w:pPr>
        <w:spacing w:after="0" w:line="360" w:lineRule="exact"/>
        <w:ind w:left="-15" w:right="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Распределим изученные факторы по группам в четырехпольной таблице: сильные и слабые стороны, возможности и угрозы.(см. табл. 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1AEACDC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A5909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ABBE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3F7B3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1E670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DBDFC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D58B3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5395D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6CE0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C58FF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2C4B9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F4F8F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5F903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Таблица 3.1  –  Результаты качественного </w:t>
      </w:r>
      <w:r>
        <w:rPr>
          <w:rFonts w:ascii="Times New Roman" w:hAnsi="Times New Roman" w:cs="Times New Roman"/>
          <w:sz w:val="28"/>
          <w:szCs w:val="28"/>
        </w:rPr>
        <w:t>SWOT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анализа </w:t>
      </w:r>
    </w:p>
    <w:tbl>
      <w:tblPr>
        <w:tblStyle w:val="8"/>
        <w:tblW w:w="9458" w:type="dxa"/>
        <w:tblInd w:w="-107" w:type="dxa"/>
        <w:tblLayout w:type="autofit"/>
        <w:tblCellMar>
          <w:top w:w="10" w:type="dxa"/>
          <w:left w:w="0" w:type="dxa"/>
          <w:bottom w:w="0" w:type="dxa"/>
          <w:right w:w="0" w:type="dxa"/>
        </w:tblCellMar>
      </w:tblPr>
      <w:tblGrid>
        <w:gridCol w:w="6200"/>
        <w:gridCol w:w="1828"/>
        <w:gridCol w:w="1430"/>
      </w:tblGrid>
      <w:tr w14:paraId="26DDE3B2">
        <w:tblPrEx>
          <w:tblCellMar>
            <w:top w:w="1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58540B">
            <w:pPr>
              <w:spacing w:after="0" w:line="240" w:lineRule="atLeast"/>
              <w:ind w:right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Сильные стороны </w:t>
            </w:r>
          </w:p>
        </w:tc>
        <w:tc>
          <w:tcPr>
            <w:tcW w:w="3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1E7E3E">
            <w:pPr>
              <w:spacing w:after="0" w:line="240" w:lineRule="atLeast"/>
              <w:ind w:left="5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Слабые стороны </w:t>
            </w:r>
          </w:p>
        </w:tc>
      </w:tr>
      <w:tr w14:paraId="16B12BB3">
        <w:tblPrEx>
          <w:tblCellMar>
            <w:top w:w="10" w:type="dxa"/>
            <w:left w:w="0" w:type="dxa"/>
            <w:bottom w:w="0" w:type="dxa"/>
            <w:right w:w="0" w:type="dxa"/>
          </w:tblCellMar>
        </w:tblPrEx>
        <w:trPr>
          <w:trHeight w:val="4845" w:hRule="atLeast"/>
        </w:trPr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974EEF8">
            <w:pPr>
              <w:numPr>
                <w:ilvl w:val="0"/>
                <w:numId w:val="3"/>
              </w:numPr>
              <w:spacing w:after="0" w:line="240" w:lineRule="atLeas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имеет лицензию и оптимальную организационную структуру </w:t>
            </w:r>
          </w:p>
          <w:p w14:paraId="060068A1">
            <w:pPr>
              <w:numPr>
                <w:ilvl w:val="0"/>
                <w:numId w:val="3"/>
              </w:numPr>
              <w:spacing w:after="0" w:line="240" w:lineRule="atLeas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по нескольким статьям </w:t>
            </w:r>
          </w:p>
          <w:p w14:paraId="58BA955F">
            <w:pPr>
              <w:numPr>
                <w:ilvl w:val="0"/>
                <w:numId w:val="3"/>
              </w:numPr>
              <w:spacing w:after="0" w:line="240" w:lineRule="atLeas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высокие показатели деятельности стационара </w:t>
            </w:r>
          </w:p>
          <w:p w14:paraId="09012FC9">
            <w:pPr>
              <w:numPr>
                <w:ilvl w:val="0"/>
                <w:numId w:val="3"/>
              </w:numPr>
              <w:spacing w:after="0" w:line="240" w:lineRule="atLeas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своевременная выплата заработной платы, и </w:t>
            </w:r>
          </w:p>
          <w:p w14:paraId="0D92F66F">
            <w:pPr>
              <w:spacing w:after="0" w:line="240" w:lineRule="atLeas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соответствующих  льгот  </w:t>
            </w:r>
          </w:p>
          <w:p w14:paraId="5A04AD94">
            <w:pPr>
              <w:numPr>
                <w:ilvl w:val="0"/>
                <w:numId w:val="3"/>
              </w:numPr>
              <w:spacing w:after="0" w:line="240" w:lineRule="atLeas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поддержка профсоюза, обеспечение детей сотрудников путевками детские оздоровительные лагеря, организация досуга сотрудников и их детей  </w:t>
            </w:r>
          </w:p>
          <w:p w14:paraId="0083FBE2">
            <w:pPr>
              <w:numPr>
                <w:ilvl w:val="0"/>
                <w:numId w:val="3"/>
              </w:numPr>
              <w:spacing w:after="0" w:line="240" w:lineRule="atLeas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спортсменов олимпийского резерва </w:t>
            </w:r>
          </w:p>
          <w:p w14:paraId="6262BCE7">
            <w:pPr>
              <w:numPr>
                <w:ilvl w:val="0"/>
                <w:numId w:val="3"/>
              </w:numPr>
              <w:spacing w:after="0" w:line="240" w:lineRule="atLeas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увеличение количества пациентов по бюджетному финансированию </w:t>
            </w:r>
          </w:p>
          <w:p w14:paraId="00F5E5C8">
            <w:pPr>
              <w:numPr>
                <w:ilvl w:val="0"/>
                <w:numId w:val="3"/>
              </w:numPr>
              <w:spacing w:after="0" w:line="240" w:lineRule="atLeas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заболеваемости прикрепленного контингента </w:t>
            </w:r>
          </w:p>
          <w:p w14:paraId="747CCBE5">
            <w:pPr>
              <w:numPr>
                <w:ilvl w:val="0"/>
                <w:numId w:val="3"/>
              </w:numPr>
              <w:spacing w:after="0" w:line="240" w:lineRule="atLeas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дневного стационара </w:t>
            </w:r>
          </w:p>
          <w:p w14:paraId="72A710C4">
            <w:pPr>
              <w:numPr>
                <w:ilvl w:val="0"/>
                <w:numId w:val="3"/>
              </w:numPr>
              <w:spacing w:after="0" w:line="240" w:lineRule="atLeas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кафедр медицинских институтов </w:t>
            </w:r>
          </w:p>
          <w:p w14:paraId="0E3B2F42">
            <w:pPr>
              <w:numPr>
                <w:ilvl w:val="0"/>
                <w:numId w:val="3"/>
              </w:numPr>
              <w:spacing w:after="0" w:line="240" w:lineRule="atLeas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центра пластической хирургии </w:t>
            </w:r>
          </w:p>
          <w:p w14:paraId="0F90BACA">
            <w:pPr>
              <w:numPr>
                <w:ilvl w:val="0"/>
                <w:numId w:val="3"/>
              </w:numPr>
              <w:spacing w:after="0" w:line="240" w:lineRule="atLeas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компьютеризация рабочих мест </w:t>
            </w:r>
          </w:p>
        </w:tc>
        <w:tc>
          <w:tcPr>
            <w:tcW w:w="3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2A13EC">
            <w:pPr>
              <w:spacing w:after="0" w:line="240" w:lineRule="atLeas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низкий уровень оплаты труда  текучесть кадров </w:t>
            </w:r>
          </w:p>
          <w:p w14:paraId="754B301B">
            <w:pPr>
              <w:spacing w:after="0" w:line="240" w:lineRule="atLeast"/>
              <w:ind w:left="108" w:right="-23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низкая мотивация сотрудников к своему труду  </w:t>
            </w:r>
          </w:p>
          <w:p w14:paraId="59BB45AE">
            <w:pPr>
              <w:spacing w:after="0" w:line="240" w:lineRule="atLeast"/>
              <w:ind w:left="108" w:right="-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низкая мотивация сотрудников для повышения квалификации лекарственное обеспечение не в полном объеме снижение пролеченных больных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ВТМП </w:t>
            </w:r>
          </w:p>
          <w:p w14:paraId="2264F900">
            <w:pPr>
              <w:spacing w:after="0" w:line="240" w:lineRule="atLeast"/>
              <w:ind w:righ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1F3142EE">
        <w:tblPrEx>
          <w:tblCellMar>
            <w:top w:w="1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E63C6F">
            <w:pPr>
              <w:spacing w:after="0" w:line="240" w:lineRule="atLeast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</w:t>
            </w:r>
          </w:p>
        </w:tc>
        <w:tc>
          <w:tcPr>
            <w:tcW w:w="182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 w14:paraId="51A1CEB3">
            <w:pPr>
              <w:spacing w:after="0" w:line="240" w:lineRule="atLeast"/>
              <w:ind w:left="10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Угрозы </w:t>
            </w:r>
          </w:p>
        </w:tc>
        <w:tc>
          <w:tcPr>
            <w:tcW w:w="14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839D2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C8A624">
        <w:tblPrEx>
          <w:tblCellMar>
            <w:top w:w="1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6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14BDD5">
            <w:pPr>
              <w:spacing w:after="0" w:line="240" w:lineRule="atLeas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eastAsia="Arial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новых лечебно-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ехнологий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исследований  </w:t>
            </w:r>
          </w:p>
          <w:p w14:paraId="4BC3630E">
            <w:pPr>
              <w:spacing w:after="0" w:line="240" w:lineRule="atLeas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возможное увеличение количества пациентов  в рамках </w:t>
            </w:r>
          </w:p>
          <w:p w14:paraId="21BBDF4A">
            <w:pPr>
              <w:spacing w:after="0" w:line="240" w:lineRule="atLeas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«Высокотехнологичной медицинской помощи»  </w:t>
            </w:r>
          </w:p>
          <w:p w14:paraId="3F71CD22">
            <w:pPr>
              <w:spacing w:after="0" w:line="240" w:lineRule="atLeas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поощрение сотрудников в виде дополнительных  денежных выплат   </w:t>
            </w:r>
          </w:p>
          <w:p w14:paraId="0BD7747C">
            <w:pPr>
              <w:spacing w:after="0" w:line="240" w:lineRule="atLeas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повышение мотивации медицинских сотрудников к своему труду </w:t>
            </w:r>
          </w:p>
          <w:p w14:paraId="3FE162CD">
            <w:pPr>
              <w:spacing w:after="0" w:line="240" w:lineRule="atLeas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рациональная комплектация штата  </w:t>
            </w:r>
          </w:p>
        </w:tc>
        <w:tc>
          <w:tcPr>
            <w:tcW w:w="3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B50E0B0">
            <w:pPr>
              <w:tabs>
                <w:tab w:val="center" w:pos="2338"/>
              </w:tabs>
              <w:spacing w:after="0" w:line="240" w:lineRule="atLeast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нагрузки 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персонал</w:t>
            </w:r>
          </w:p>
        </w:tc>
      </w:tr>
    </w:tbl>
    <w:p w14:paraId="15466D36">
      <w:pPr>
        <w:spacing w:after="0" w:line="360" w:lineRule="exact"/>
        <w:ind w:right="3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A4031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1C8B2B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A6BC32B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7A4F55B5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ИНДИВИДУАЛЬНОЕ ЗАДАНИЕ</w:t>
      </w:r>
    </w:p>
    <w:p w14:paraId="24B0F534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7057E4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Медицина ‒ одна из самых важных отраслей деятельности государства. Для того, чтобы повышалась эффективность работы в этой сфере, необходимо создавать благоприятные условия. Повышение трудовой мотивации персонала является одной из приоритетных задач управления в любой области деятельности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[16]. </w:t>
      </w:r>
    </w:p>
    <w:p w14:paraId="584BBCF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социально ориентированной экономике здравоохранение занимает одно из важных мест, так как именно здесь производятся общественно потребляемые блага - медицинские услуги. Активное функционирование медицинских учреждений на рыночных основах проявляется в том, что в последнее время здравоохранение всё более полно вовлекается в экономический оборот общества. При этом наблюдается всё большая зависимость здравоохранения от общего экономического роста в стране, так как платёжеспособность населения влияет на объёмы платных услуг отрасли, а стабилизация в государственном секторе позволяет рассчитывать на развитие целевых программ, финансируемых государством [10]. </w:t>
      </w:r>
    </w:p>
    <w:p w14:paraId="3F87377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руководители уверены, что их действия по управлению коллективом, постановке целей, выполнению различных заданий и соблюдению строгой дисциплины и т.д. будут восприниматься их подчинёнными как достойный пример и будут вдохновлять их на работу, которая соответствует ожиданиям руководства. Чаще всего отсутствие такого энтузиазма в работе наблюдается там, где нет личного интереса к работе. Работникам очень важно понимать, как их личный успех связан с успехом коллектива, и то, что дополнительные затраты энергии, которую они добровольно вкладывают в работу, найдёт отражение в той награде, которую они получат от руководителей. Но у них должна быть возможность почувствовать свою самостоятельность и независимость. В данном случае особую роль играет эффективное управление трудовым процессом, обеспечивающее заинтересованность работников в высокопроизводительном труде и совершенствовании конечных результатов деятельности предприятия.</w:t>
      </w:r>
    </w:p>
    <w:p w14:paraId="07CC449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Современная ситуация в здравоохранении предполагает проведение глубоких преобразований в области управления кадровым потенциалом отрасли. </w:t>
      </w:r>
    </w:p>
    <w:p w14:paraId="5612109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новой кадровой политики в системе здравоохранения является подготовка и переподготовка специалистов, обладающих современными знаниями и способных обеспечить экономическую и клиническую эффективность применяемых высоких медицинских технологий и новых методов профилактики, диагностики и лечения, достижение оптимального соотношения численности врачей и среднего медицинского персонала, а также устранение диспропорций в кадровом обеспечении всех уровней системы здравоохранения [3]. Основными критериями эффективности кадровой политики, медицинского образования и системы стимулирования медицинских кадров являются качество оказываемой медицинской помощи и удовлетворенность пациента</w:t>
      </w:r>
    </w:p>
    <w:p w14:paraId="08658BC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основным показателям, которые позволяют оценить состояние кадрового обеспечения и кадрового потенциала системы здравоохранения относятся: </w:t>
      </w:r>
    </w:p>
    <w:p w14:paraId="05AC87B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показатели численности специалистов и штатная обеспеченность, </w:t>
      </w:r>
    </w:p>
    <w:p w14:paraId="73923A7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показатели обеспеченности населения медицинскими кадрами, </w:t>
      </w:r>
    </w:p>
    <w:p w14:paraId="031A2D4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движение медицинских кадров, </w:t>
      </w:r>
    </w:p>
    <w:p w14:paraId="4691648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квалификация медицинских кадров, </w:t>
      </w:r>
    </w:p>
    <w:p w14:paraId="52D734D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повышение профессионального уровня.</w:t>
      </w:r>
    </w:p>
    <w:p w14:paraId="5AAB013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случае работа должна вестись по нескольким направлениям: </w:t>
      </w:r>
    </w:p>
    <w:p w14:paraId="6FA3233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счет резервов снижения трудоемкости медицинских услуг, а именно – внедрения новых медицинских технологий в деятельность медучреждения; </w:t>
      </w:r>
    </w:p>
    <w:p w14:paraId="5835E75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счет оптимизации использования рабочего времени медицинского персонала за счет совершенствования структуры медучреждения; </w:t>
      </w:r>
    </w:p>
    <w:p w14:paraId="4D83212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счет совершенствования структуры персонала конкретного медучреждения – повышения квалификации медицинского персонала (специалистов, врачей, младшего медперсонала), изменения соотношения медицинского и управленческого персонала и т.д. </w:t>
      </w:r>
    </w:p>
    <w:p w14:paraId="5D38478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 производительности труда медучреждения необходимо рассматривать в тесной связи с оплатой труда его персонала.</w:t>
      </w:r>
    </w:p>
    <w:p w14:paraId="04ABFA3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Построение системы показателей, в наибольшей степени характеризующих производительность труда персонала медучреждения, является одной из важнейших предпосылок эффективного управления этим процессом. От обеспеченности учреждения здравоохранения необходимым квалифицированным персоналом и эффективности его использования зависят объем и своевременность выполнения всех медицинских услуг, эффективность использования медицинского оборудования и препаратов и как результат – объем производства медицинских услуг, их себестоимость, прибыль и ряд других экономических показателей. </w:t>
      </w:r>
    </w:p>
    <w:p w14:paraId="33457CF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эффективности использования фонда оплаты труда медицинского учреждения необходимо рассматривать в тесной связи с анализом использования медперсонала, направленного на выявление резервов по повышению производительности труда. Эффективное использование сформированного в медицинском учреждении персонала в значительной степени обеспечивается разработкой системы мероприятий, направленных на повышение производительности труда.</w:t>
      </w:r>
    </w:p>
    <w:p w14:paraId="25A655BE">
      <w:pPr>
        <w:spacing w:after="0" w:line="360" w:lineRule="exact"/>
        <w:ind w:left="-15" w:firstLine="7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рамках проведенного исследования были изучены существующая система управления персоналом и показатели текучести кадров </w:t>
      </w:r>
      <w:r>
        <w:rPr>
          <w:rFonts w:ascii="Times New Roman" w:hAnsi="Times New Roman" w:cs="Times New Roman"/>
          <w:sz w:val="28"/>
          <w:szCs w:val="28"/>
        </w:rPr>
        <w:t>УЗ «11-я городская клиническая больница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».  </w:t>
      </w:r>
    </w:p>
    <w:p w14:paraId="79342A45">
      <w:pPr>
        <w:spacing w:after="0" w:line="360" w:lineRule="exact"/>
        <w:ind w:left="-15" w:firstLine="7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оценки текучести кадров был проведен анализ показателей движения персонала предприятия за 2021–2023 гг. </w:t>
      </w:r>
      <w:r>
        <w:rPr>
          <w:rFonts w:ascii="Times New Roman" w:hAnsi="Times New Roman" w:cs="Times New Roman"/>
          <w:sz w:val="28"/>
          <w:szCs w:val="28"/>
        </w:rPr>
        <w:t xml:space="preserve">(табл. 1).  </w:t>
      </w:r>
    </w:p>
    <w:p w14:paraId="69C97C89">
      <w:pPr>
        <w:spacing w:after="0" w:line="360" w:lineRule="exact"/>
        <w:ind w:firstLine="7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Таблица 1 ‒ Показатели движения персонала </w:t>
      </w:r>
      <w:r>
        <w:rPr>
          <w:rFonts w:ascii="Times New Roman" w:hAnsi="Times New Roman" w:cs="Times New Roman"/>
          <w:sz w:val="28"/>
          <w:szCs w:val="28"/>
        </w:rPr>
        <w:t>УЗ «11-я городская клиническая больница</w:t>
      </w:r>
    </w:p>
    <w:tbl>
      <w:tblPr>
        <w:tblStyle w:val="8"/>
        <w:tblW w:w="9857" w:type="dxa"/>
        <w:tblInd w:w="-108" w:type="dxa"/>
        <w:tblLayout w:type="fixed"/>
        <w:tblCellMar>
          <w:top w:w="7" w:type="dxa"/>
          <w:left w:w="108" w:type="dxa"/>
          <w:bottom w:w="0" w:type="dxa"/>
          <w:right w:w="89" w:type="dxa"/>
        </w:tblCellMar>
      </w:tblPr>
      <w:tblGrid>
        <w:gridCol w:w="3139"/>
        <w:gridCol w:w="686"/>
        <w:gridCol w:w="684"/>
        <w:gridCol w:w="1990"/>
        <w:gridCol w:w="686"/>
        <w:gridCol w:w="828"/>
        <w:gridCol w:w="1844"/>
      </w:tblGrid>
      <w:tr w14:paraId="2089D4BB">
        <w:tblPrEx>
          <w:tblCellMar>
            <w:top w:w="7" w:type="dxa"/>
            <w:left w:w="108" w:type="dxa"/>
            <w:bottom w:w="0" w:type="dxa"/>
            <w:right w:w="89" w:type="dxa"/>
          </w:tblCellMar>
        </w:tblPrEx>
        <w:trPr>
          <w:trHeight w:val="240" w:hRule="atLeast"/>
        </w:trPr>
        <w:tc>
          <w:tcPr>
            <w:tcW w:w="3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B806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работников 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8C2E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2022г. </w:t>
            </w: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B1F6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обеспеченности </w:t>
            </w: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1287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2023г. </w:t>
            </w:r>
          </w:p>
        </w:tc>
        <w:tc>
          <w:tcPr>
            <w:tcW w:w="1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AE40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обеспеченности </w:t>
            </w:r>
          </w:p>
        </w:tc>
      </w:tr>
      <w:tr w14:paraId="73043914">
        <w:tblPrEx>
          <w:tblCellMar>
            <w:top w:w="7" w:type="dxa"/>
            <w:left w:w="108" w:type="dxa"/>
            <w:bottom w:w="0" w:type="dxa"/>
            <w:right w:w="89" w:type="dxa"/>
          </w:tblCellMar>
        </w:tblPrEx>
        <w:trPr>
          <w:trHeight w:val="276" w:hRule="atLeast"/>
        </w:trPr>
        <w:tc>
          <w:tcPr>
            <w:tcW w:w="3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2BFA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F72E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9320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15CC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F24D5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EAC4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4AC5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52E2F1">
        <w:tblPrEx>
          <w:tblCellMar>
            <w:top w:w="7" w:type="dxa"/>
            <w:left w:w="108" w:type="dxa"/>
            <w:bottom w:w="0" w:type="dxa"/>
            <w:right w:w="89" w:type="dxa"/>
          </w:tblCellMar>
        </w:tblPrEx>
        <w:trPr>
          <w:trHeight w:val="240" w:hRule="atLeast"/>
        </w:trPr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0EAC4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4DF8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F80C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B2F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92,50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ED9D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85A09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615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32DCF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90,38 </w:t>
            </w:r>
          </w:p>
        </w:tc>
      </w:tr>
      <w:tr w14:paraId="35157FB4">
        <w:tblPrEx>
          <w:tblCellMar>
            <w:top w:w="7" w:type="dxa"/>
            <w:left w:w="108" w:type="dxa"/>
            <w:bottom w:w="0" w:type="dxa"/>
            <w:right w:w="89" w:type="dxa"/>
          </w:tblCellMar>
        </w:tblPrEx>
        <w:trPr>
          <w:trHeight w:val="240" w:hRule="atLeast"/>
        </w:trPr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D905C6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F6F0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3EB5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8232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A8572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241316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FD1B8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237B9DDD">
        <w:tblPrEx>
          <w:tblCellMar>
            <w:top w:w="7" w:type="dxa"/>
            <w:left w:w="108" w:type="dxa"/>
            <w:bottom w:w="0" w:type="dxa"/>
            <w:right w:w="89" w:type="dxa"/>
          </w:tblCellMar>
        </w:tblPrEx>
        <w:trPr>
          <w:trHeight w:val="240" w:hRule="atLeast"/>
        </w:trPr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0F3A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14B8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A5FEB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E7BD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2775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85AC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07EC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100,00 </w:t>
            </w:r>
          </w:p>
        </w:tc>
      </w:tr>
      <w:tr w14:paraId="75FAD2F6">
        <w:tblPrEx>
          <w:tblCellMar>
            <w:top w:w="7" w:type="dxa"/>
            <w:left w:w="108" w:type="dxa"/>
            <w:bottom w:w="0" w:type="dxa"/>
            <w:right w:w="89" w:type="dxa"/>
          </w:tblCellMar>
        </w:tblPrEx>
        <w:trPr>
          <w:trHeight w:val="240" w:hRule="atLeast"/>
        </w:trPr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3E26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16F5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877D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9CE17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110,00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D42CB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317B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238D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83,33 </w:t>
            </w:r>
          </w:p>
        </w:tc>
      </w:tr>
      <w:tr w14:paraId="1D8E9327">
        <w:tblPrEx>
          <w:tblCellMar>
            <w:top w:w="7" w:type="dxa"/>
            <w:left w:w="108" w:type="dxa"/>
            <w:bottom w:w="0" w:type="dxa"/>
            <w:right w:w="89" w:type="dxa"/>
          </w:tblCellMar>
        </w:tblPrEx>
        <w:trPr>
          <w:trHeight w:val="240" w:hRule="atLeast"/>
        </w:trPr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C1F2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Служащие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4EC4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8F4A0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308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D64A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81,82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A71C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B6105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295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5B71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87,50 </w:t>
            </w:r>
          </w:p>
        </w:tc>
      </w:tr>
      <w:tr w14:paraId="5F9550BB">
        <w:tblPrEx>
          <w:tblCellMar>
            <w:top w:w="7" w:type="dxa"/>
            <w:left w:w="108" w:type="dxa"/>
            <w:bottom w:w="0" w:type="dxa"/>
            <w:right w:w="89" w:type="dxa"/>
          </w:tblCellMar>
        </w:tblPrEx>
        <w:trPr>
          <w:trHeight w:val="240" w:hRule="atLeast"/>
        </w:trPr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FFAD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Обслуживающий персонал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5C784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33F782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B1DE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100,00 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A7F5EC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23D13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63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3DA951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100,00 </w:t>
            </w:r>
          </w:p>
        </w:tc>
      </w:tr>
    </w:tbl>
    <w:p w14:paraId="2090EE6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0A1DD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Среднесписочная численность составляет в 2022 г.- 681 чел, на конец 2023 г. - </w:t>
      </w:r>
      <w:r>
        <w:rPr>
          <w:rFonts w:ascii="Times New Roman" w:hAnsi="Times New Roman" w:cs="Times New Roman"/>
          <w:sz w:val="28"/>
          <w:szCs w:val="28"/>
          <w:lang w:val="ru-RU"/>
        </w:rPr>
        <w:t>615</w:t>
      </w:r>
      <w:r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14:paraId="1327F78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административно-управленческого персонала в 2023г. составляет 14,89% (нормативный показатель 10-15%). </w:t>
      </w:r>
    </w:p>
    <w:p w14:paraId="7F50E7B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экономии фонда заработной платы предприятие не принимает работников до полного штата, имеются вакансии по специалистам и служащим. </w:t>
      </w:r>
    </w:p>
    <w:p w14:paraId="5DD71FB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Наиболее низкая укомплектованность по </w:t>
      </w:r>
      <w:r>
        <w:rPr>
          <w:rFonts w:ascii="Times New Roman" w:hAnsi="Times New Roman" w:cs="Times New Roman"/>
          <w:sz w:val="28"/>
          <w:szCs w:val="28"/>
          <w:lang w:val="ru-RU"/>
        </w:rPr>
        <w:t>врачам</w:t>
      </w:r>
      <w:r>
        <w:rPr>
          <w:rFonts w:ascii="Times New Roman" w:hAnsi="Times New Roman" w:cs="Times New Roman"/>
          <w:sz w:val="28"/>
          <w:szCs w:val="28"/>
        </w:rPr>
        <w:t xml:space="preserve">, на конец 2023 обеспеченность составляет 83,33%. </w:t>
      </w:r>
    </w:p>
    <w:p w14:paraId="20E98D0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Квалификационный уровень работников во многом зависит от возраста, стажа работы, образования и т. д., поэтому в процессе анализа необходимо изучить изменения в составе рабочих по этим признакам. </w:t>
      </w:r>
    </w:p>
    <w:p w14:paraId="3AD3E03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качественного состава персонала показал следующее (таблица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</w:p>
    <w:p w14:paraId="79C2E761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Динамика качественного состава персонала </w:t>
      </w:r>
    </w:p>
    <w:tbl>
      <w:tblPr>
        <w:tblStyle w:val="8"/>
        <w:tblW w:w="9857" w:type="dxa"/>
        <w:tblInd w:w="-108" w:type="dxa"/>
        <w:tblLayout w:type="autofit"/>
        <w:tblCellMar>
          <w:top w:w="7" w:type="dxa"/>
          <w:left w:w="101" w:type="dxa"/>
          <w:bottom w:w="0" w:type="dxa"/>
          <w:right w:w="0" w:type="dxa"/>
        </w:tblCellMar>
      </w:tblPr>
      <w:tblGrid>
        <w:gridCol w:w="3618"/>
        <w:gridCol w:w="962"/>
        <w:gridCol w:w="2158"/>
        <w:gridCol w:w="963"/>
        <w:gridCol w:w="2156"/>
      </w:tblGrid>
      <w:tr w14:paraId="74296930">
        <w:tblPrEx>
          <w:tblCellMar>
            <w:top w:w="7" w:type="dxa"/>
            <w:left w:w="101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37C62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Персонал организации </w:t>
            </w:r>
          </w:p>
        </w:tc>
        <w:tc>
          <w:tcPr>
            <w:tcW w:w="4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3379716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Численность работников</w:t>
            </w:r>
          </w:p>
        </w:tc>
        <w:tc>
          <w:tcPr>
            <w:tcW w:w="21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6AC1EE0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14:paraId="05E9D6FD">
        <w:tblPrEx>
          <w:tblCellMar>
            <w:top w:w="7" w:type="dxa"/>
            <w:left w:w="101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55344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84939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2022г. 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DCA61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Удельный вес, %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9A755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2023г. 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53547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Удельный вес, % </w:t>
            </w:r>
          </w:p>
        </w:tc>
      </w:tr>
      <w:tr w14:paraId="02EE226F">
        <w:tblPrEx>
          <w:tblCellMar>
            <w:top w:w="7" w:type="dxa"/>
            <w:left w:w="101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9547D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По возрасту, лет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5B4288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456CF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349B2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F0D4C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14:paraId="3F2DE678">
        <w:tblPrEx>
          <w:tblCellMar>
            <w:top w:w="7" w:type="dxa"/>
            <w:left w:w="101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BBFB0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От 20 до 30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581BB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18 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EB5A5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Cs w:val="28"/>
              </w:rPr>
              <w:t xml:space="preserve">,62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7B59E0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3C589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Cs w:val="28"/>
              </w:rPr>
              <w:t xml:space="preserve">,15 </w:t>
            </w:r>
          </w:p>
        </w:tc>
      </w:tr>
      <w:tr w14:paraId="2458E076">
        <w:tblPrEx>
          <w:tblCellMar>
            <w:top w:w="7" w:type="dxa"/>
            <w:left w:w="101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F714B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От 30 до 40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A3313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Cs w:val="28"/>
              </w:rPr>
              <w:t xml:space="preserve">86 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617CD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Cs w:val="28"/>
              </w:rPr>
              <w:t xml:space="preserve">4,32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BDA48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Cs w:val="28"/>
              </w:rPr>
              <w:t>3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3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1C895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Cs w:val="28"/>
              </w:rPr>
              <w:t xml:space="preserve">3,40 </w:t>
            </w:r>
          </w:p>
        </w:tc>
      </w:tr>
      <w:tr w14:paraId="679FCC5C">
        <w:tblPrEx>
          <w:tblCellMar>
            <w:top w:w="7" w:type="dxa"/>
            <w:left w:w="101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7CAAA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От 40 до 50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68D49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Cs w:val="28"/>
              </w:rPr>
              <w:t>86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705D5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Cs w:val="28"/>
              </w:rPr>
              <w:t xml:space="preserve">4,32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7994B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26</w:t>
            </w:r>
            <w:r>
              <w:rPr>
                <w:rFonts w:ascii="Times New Roman" w:hAnsi="Times New Roman" w:cs="Times New Roman"/>
                <w:szCs w:val="28"/>
              </w:rPr>
              <w:t xml:space="preserve">2 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08EB7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Cs w:val="28"/>
              </w:rPr>
              <w:t xml:space="preserve">5,53 </w:t>
            </w:r>
          </w:p>
        </w:tc>
      </w:tr>
      <w:tr w14:paraId="02119532">
        <w:tblPrEx>
          <w:tblCellMar>
            <w:top w:w="7" w:type="dxa"/>
            <w:left w:w="101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FC301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От 50 до 60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8F88B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76 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3DE02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 xml:space="preserve">7,02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8FA1F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78 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059CC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 xml:space="preserve">9,79 </w:t>
            </w:r>
          </w:p>
        </w:tc>
      </w:tr>
      <w:tr w14:paraId="5BC12405">
        <w:tblPrEx>
          <w:tblCellMar>
            <w:top w:w="7" w:type="dxa"/>
            <w:left w:w="101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54779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Старше 60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3E286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27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5F8F0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8</w:t>
            </w:r>
            <w:r>
              <w:rPr>
                <w:rFonts w:ascii="Times New Roman" w:hAnsi="Times New Roman" w:cs="Times New Roman"/>
                <w:szCs w:val="28"/>
              </w:rPr>
              <w:t xml:space="preserve">,72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BC2E4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0650B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Cs w:val="28"/>
              </w:rPr>
              <w:t xml:space="preserve">,13 </w:t>
            </w:r>
          </w:p>
        </w:tc>
      </w:tr>
      <w:tr w14:paraId="37F6BCA0">
        <w:tblPrEx>
          <w:tblCellMar>
            <w:top w:w="7" w:type="dxa"/>
            <w:left w:w="101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FC988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Итого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32797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681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2CD1C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100,00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36B62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615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B81FD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100,00 </w:t>
            </w:r>
          </w:p>
        </w:tc>
      </w:tr>
      <w:tr w14:paraId="636BF474">
        <w:tblPrEx>
          <w:tblCellMar>
            <w:top w:w="7" w:type="dxa"/>
            <w:left w:w="101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F0751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По образованию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862F3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8EAC7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3C0B7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D4FFF4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14:paraId="0F0ADBF4">
        <w:tblPrEx>
          <w:tblCellMar>
            <w:top w:w="7" w:type="dxa"/>
            <w:left w:w="101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DE48E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Общее среднее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5E0F8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34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46B93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4,9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6FCC4E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13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DA760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2,1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14:paraId="3A8180DE">
        <w:tblPrEx>
          <w:tblCellMar>
            <w:top w:w="7" w:type="dxa"/>
            <w:left w:w="101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4DD75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Среднее  специальное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0A5BA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98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28A57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29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2072B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181 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49D51C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27,8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14:paraId="42965518">
        <w:tblPrEx>
          <w:tblCellMar>
            <w:top w:w="7" w:type="dxa"/>
            <w:left w:w="101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46EC0C46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Высшее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89FBBCF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449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2F4E0FF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65,9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7686697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421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B345B11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68,45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14:paraId="6D87B9BF">
        <w:tblPrEx>
          <w:tblCellMar>
            <w:top w:w="7" w:type="dxa"/>
            <w:left w:w="101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23F3D7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Итого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E4CFD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681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C9236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100,00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2136F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615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05FCA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100,00 </w:t>
            </w:r>
          </w:p>
        </w:tc>
      </w:tr>
      <w:tr w14:paraId="3CF0E050">
        <w:tblPrEx>
          <w:tblCellMar>
            <w:top w:w="7" w:type="dxa"/>
            <w:left w:w="101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DCDC6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По трудовому стажу, лет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FBE24B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54E61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3CD818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B1065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14:paraId="47266FE6">
        <w:tblPrEx>
          <w:tblCellMar>
            <w:top w:w="7" w:type="dxa"/>
            <w:left w:w="101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DA2CEF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до 1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ABECA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47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62FDE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6,9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16FB17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76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B77F9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</w:rPr>
              <w:t>12,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3</w:t>
            </w:r>
          </w:p>
        </w:tc>
      </w:tr>
      <w:tr w14:paraId="2D8803FA">
        <w:tblPrEx>
          <w:tblCellMar>
            <w:top w:w="7" w:type="dxa"/>
            <w:left w:w="101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9FA405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от 1 до 3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42903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186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61FB9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27,3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BC890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74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9F350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28,3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14:paraId="7960EE5C">
        <w:tblPrEx>
          <w:tblCellMar>
            <w:top w:w="7" w:type="dxa"/>
            <w:left w:w="101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D6556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от 3 до 5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57413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186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2E2F5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27,3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9939D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142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0DA3C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23,09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14:paraId="4F90DFAE">
        <w:tblPrEx>
          <w:tblCellMar>
            <w:top w:w="7" w:type="dxa"/>
            <w:left w:w="101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532F7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от 5 до 10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A0E4CD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679B7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</w:rPr>
              <w:t>16,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7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85B3E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 xml:space="preserve">26 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1135F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20,5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14:paraId="395AA621">
        <w:tblPrEx>
          <w:tblCellMar>
            <w:top w:w="7" w:type="dxa"/>
            <w:left w:w="101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1F615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свыше 10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AA2C05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48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76B9F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21,7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88841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97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0091E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15,7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14:paraId="4E1B1100">
        <w:tblPrEx>
          <w:tblCellMar>
            <w:top w:w="7" w:type="dxa"/>
            <w:left w:w="101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41ED8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Итого 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04305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681</w:t>
            </w:r>
          </w:p>
        </w:tc>
        <w:tc>
          <w:tcPr>
            <w:tcW w:w="2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80F01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100,00 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45A54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615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A0E7F">
            <w:pPr>
              <w:spacing w:after="0" w:line="360" w:lineRule="exact"/>
              <w:ind w:hanging="34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100,00 </w:t>
            </w:r>
          </w:p>
        </w:tc>
      </w:tr>
    </w:tbl>
    <w:p w14:paraId="6F8C7D1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0E074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достаточно обеспечена кадрами с высшим образованием. </w:t>
      </w:r>
    </w:p>
    <w:p w14:paraId="640CD41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работников имеет стаж работы от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до 5 лет. Свыше 10 лет трудового стажа имеют 6,38 % всех работников предприятия. </w:t>
      </w:r>
    </w:p>
    <w:p w14:paraId="5B31637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условий роста производительности труда и эффективности производства считается стабильность состава кадров организации. При анализе движения персонала отмечается изменение в составе работников по возрасту, стажу работы и образованию. </w:t>
      </w:r>
    </w:p>
    <w:p w14:paraId="4BF53CCF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7F393B2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1251A1B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873EF59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4FB87AE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C44374A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3A9104E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C3E70EB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8AF3CC3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B2A2D6A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3AC1A5E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6B01546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ЗАКЛЮЧЕНИЕ</w:t>
      </w:r>
    </w:p>
    <w:p w14:paraId="0E448710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76B81B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В ходе прохождения преддипломной практики в УЗ 11 ГКБ мною были получены ценные теоретические и практические знания, которые позволили углубить понимание специфики работы медицинского учреждения. Практика проходила в условиях реальной клинической деятельности, что дало возможность применить полученные в университете знания на практике, а также развить профессиональные навыки.</w:t>
      </w:r>
    </w:p>
    <w:p w14:paraId="6081B721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Основными задачами практики были: ознакомление с организационной структурой больницы, изучение документации, участие в диагностических и лечебных процессах, а также взаимодействие с пациентами и медицинским персоналом. В процессе работы я активно участвовал</w:t>
      </w:r>
      <w:r>
        <w:rPr>
          <w:rFonts w:ascii="Times New Roman" w:hAnsi="Times New Roman" w:eastAsia="Times New Roman" w:cs="Times New Roman"/>
          <w:sz w:val="28"/>
          <w:szCs w:val="28"/>
          <w:lang w:val="ru-RU" w:eastAsia="zh-CN"/>
        </w:rPr>
        <w:t xml:space="preserve"> участие в деятельности организации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, изучал(а) особенности ведения медицинской документации и соблюдения санитарно-эпидемиологического режима.</w:t>
      </w:r>
    </w:p>
    <w:p w14:paraId="6B5B51B1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Особое внимание было уделено изучению работы отделения, в котором я проходил(а) практику. Это позволило понять специфику лечения пациентов, особенности взаимодействия между различными подразделениями больницы, а также оценить важность командной работы в медицинской сфере.</w:t>
      </w:r>
    </w:p>
    <w:p w14:paraId="2959D1F0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Практика в УЗ 11 ГКБ стала важным этапом в моем профессиональном становлении. Я получил(а) не только практические навыки, но и уверенность в своих силах, что является важным шагом на пути к успешной карьере. Полученный опыт будет использован при написании дипломной работы и в дальнейшей профессиональной деятельности.</w:t>
      </w:r>
    </w:p>
    <w:p w14:paraId="53EAE1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здравоохранения «11-я городская клиническая больница» является государственным лечебно-профилактическим учреждением здравоохранения, основанным на коммунальной форме собственности. Свою деятельность осуществляет на основании Устава, утвержденного решением Минского городского исполнительного комитета от 24,05,07г. №1165  Вышестоящей организацией является комитет здравоохранения Минского горисполкома.</w:t>
      </w:r>
    </w:p>
    <w:p w14:paraId="74CEAD0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Штатная численность персонала 615 сотрудников, в том числе 98 врачей, из них – 3 кандидата медицинских наук, 32,2% врачей с высшей категорией, 34,3% – с первой категорией и 13,5% – со второй. Средних медицинских работников – 183 человека. Среди них аттестовано 74%, из них имеют: высшую квалификационную категорию – 7,2%, первую – 43%, вторую – 23,8%.</w:t>
      </w:r>
    </w:p>
    <w:p w14:paraId="37D0F2A2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УЗ «11-я ГКБ»  является многопрофильной клинической больницей с мощностью коечного фонда 552 койки. В составе клиники имеется хозрасчетное отделение  сестринского ухода с коечным фондом 10коек . В учреждении УЗ «11-я городская клиническая больница» функционирует отделение паллиативной медицинской помощи «Хоспис» на 30 коек с выездной службой. Отделение открыто 15.11.2011г. в целях улучшения качества жизни и социальной защищенности граждан, страдающих онкологическими и тяжелыми хроническими заболеваниями с неблагоприятным ближайшим прогнозом и улучшения доступности паллиативной медицинской помощи населению г. Минска. Финансовое обеспечение Хосписа осуществляет государство, а также добровольные пожертвования от организаций и частных лиц.</w:t>
      </w:r>
    </w:p>
    <w:p w14:paraId="65F90BE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Внешние коммуникации УЗ «</w:t>
      </w: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-я ГКБ» осуществляет путем взаимодействия с организациями здравоохранения и с другими заинтересованными организациями с целью обеспечения выполнения миссии и политики в области качества учреждения </w:t>
      </w:r>
    </w:p>
    <w:p w14:paraId="1E49F7E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цель взаимодействия больницы с образовательными медицинскими учреждениями и кафедрами является повышение компетенции, научно-методическое обеспечение, врачей и среднего медицинского персонала, интернатуры и клинической ординатуры. 2. Тесное взаимодействие медицинского учреждения и кафедры БГМУ, БелМАПО обеспечивает опытное внедрение в больнице передовых научных разработок в той или иной сфере. </w:t>
      </w:r>
    </w:p>
    <w:p w14:paraId="16B83D1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УЗ «</w:t>
      </w: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-я ГКБ» проводятся экспериментальные исследования — например, оценивается эффективность определенного подхода к лечению больных, собирается статистика на основании проведенных методов диагностики, назначаются новые препараты и т. д. </w:t>
      </w:r>
    </w:p>
    <w:p w14:paraId="350CBC4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взаимодействие в УЗ «</w:t>
      </w: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>
        <w:rPr>
          <w:rFonts w:ascii="Times New Roman" w:hAnsi="Times New Roman" w:cs="Times New Roman"/>
          <w:sz w:val="28"/>
          <w:szCs w:val="28"/>
        </w:rPr>
        <w:t>-я ГКБ» обеспечивают: главный врач, заместители главного врача, начальник ОКиПР, зав. отделений в соответствии с установленными компетенциями.</w:t>
      </w:r>
    </w:p>
    <w:p w14:paraId="44A0B61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Внутренняя среда организации ‒ это ситуационные факторы внутри </w:t>
      </w:r>
    </w:p>
    <w:p w14:paraId="6477055E">
      <w:pPr>
        <w:spacing w:after="0"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Наибольший удельный вес в кассовых расходах занимает заработная плата и начисления на заработную плату </w:t>
      </w:r>
      <w:r>
        <w:rPr>
          <w:rFonts w:ascii="Times New Roman" w:hAnsi="Times New Roman" w:cs="Times New Roman"/>
          <w:sz w:val="28"/>
          <w:szCs w:val="28"/>
        </w:rPr>
        <w:t xml:space="preserve">61,43 %.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Следующая за ней статья -  медикаменты – </w:t>
      </w:r>
      <w:r>
        <w:rPr>
          <w:rFonts w:ascii="Times New Roman" w:hAnsi="Times New Roman" w:cs="Times New Roman"/>
          <w:sz w:val="28"/>
          <w:szCs w:val="28"/>
        </w:rPr>
        <w:t>12,30 %.</w:t>
      </w:r>
    </w:p>
    <w:p w14:paraId="4515E601">
      <w:pPr>
        <w:spacing w:after="0" w:line="360" w:lineRule="exact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В течение  2023 года своевременно  производились расчеты за тепло и электроэнергию, воду и услуги унитарных предприятий системы комитета по здравоохранению. По состоянию на 01.01.2024  задолженность за тепло и электроэнергию отсутствует.</w:t>
      </w:r>
    </w:p>
    <w:p w14:paraId="74257BB1">
      <w:pPr>
        <w:spacing w:after="0" w:line="360" w:lineRule="exact"/>
        <w:ind w:firstLine="709"/>
        <w:jc w:val="both"/>
        <w:rPr>
          <w:rFonts w:ascii="Times New Roman" w:hAnsi="Times New Roman" w:eastAsia="Microsoft Sans Serif" w:cs="Times New Roman"/>
          <w:sz w:val="28"/>
          <w:szCs w:val="28"/>
        </w:rPr>
      </w:pPr>
      <w:r>
        <w:rPr>
          <w:rFonts w:ascii="Times New Roman" w:hAnsi="Times New Roman" w:eastAsia="Microsoft Sans Serif" w:cs="Times New Roman"/>
          <w:sz w:val="28"/>
          <w:szCs w:val="28"/>
        </w:rPr>
        <w:t>В сравнении с аналогичным периодом 2022 года доход, полученный от населения увеличился на 55,8 %, по экспорту услуг в действующих ценах вырос на 6,8 %. Доход, полученный от аренды помещений  величился  на 1,7%, от прочих внебюджетных поступлений увеличился на 296,3 %. Сумма доходов по страховым возмещениям по договорам добровольного медицинского страхования увеличился на 170,64 % к соответствующему периоду прошлого года.</w:t>
      </w:r>
    </w:p>
    <w:p w14:paraId="7BDC156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Современная ситуация в здравоохранении предполагает проведение глубоких преобразований в области управления кадровым потенциалом отрасли. </w:t>
      </w:r>
    </w:p>
    <w:p w14:paraId="452D9C5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новой кадровой политики в системе здравоохранения является подготовка и переподготовка специалистов, обладающих современными знаниями и способных обеспечить экономическую и клиническую эффективность применяемых высоких медицинских технологий и новых методов профилактики, диагностики и лечения, достижение оптимального соотношения численности врачей и среднего медицинского персонала, а также устранение диспропорций в кадровом обеспечении всех уровней системы здравоохранения [3]. Основными критериями эффективности кадровой политики, медицинского образования и системы стимулирования медицинских кадров являются качество оказываемой медицинской помощи и удовлетворенность пациента</w:t>
      </w:r>
    </w:p>
    <w:p w14:paraId="01D33E3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основным показателям, которые позволяют оценить состояние кадрового обеспечения и кадрового потенциала системы здравоохранения относятся: </w:t>
      </w:r>
    </w:p>
    <w:p w14:paraId="2006E647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показатели численности специалистов и штатная обеспеченность, </w:t>
      </w:r>
    </w:p>
    <w:p w14:paraId="43BCF5E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показатели обеспеченности населения медицинскими кадрами, </w:t>
      </w:r>
    </w:p>
    <w:p w14:paraId="43329408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движение медицинских кадров, </w:t>
      </w:r>
    </w:p>
    <w:p w14:paraId="0665CD1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квалификация медицинских кадров, </w:t>
      </w:r>
    </w:p>
    <w:p w14:paraId="0A79276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повышение профессионального уровня.</w:t>
      </w:r>
    </w:p>
    <w:p w14:paraId="3568EF3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причиной текучести кадров, по опросу уволенных, является низкая заработная плата (заработная плата специалиста с высшим образованием на 2023г. составляет 1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65 руб.) </w:t>
      </w:r>
    </w:p>
    <w:p w14:paraId="15AECB4F">
      <w:pP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Как видно из данных таблицы, показатели приема, увольнения, а также текучести кадров и за 2023 год снизились по сравнению с 2022 годом, что выражается в снижении общего на 0,003 пункта.</w:t>
      </w:r>
    </w:p>
    <w:p w14:paraId="6DBA4880">
      <w:pPr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Также следует отметить, что значения всех рассчитанных показателей движения персонала низкие, что в целом свидетельствует о стабильности кадрового состава.</w:t>
      </w:r>
    </w:p>
    <w:p w14:paraId="3D17C4EF">
      <w:pPr>
        <w:shd w:val="clear" w:color="auto" w:fill="FFFFFF"/>
        <w:spacing w:after="0" w:line="360" w:lineRule="exact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</w:p>
    <w:p w14:paraId="30DD06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9412DB6">
      <w:pPr>
        <w:spacing w:after="0" w:line="360" w:lineRule="exact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СПИСОК ИСПОЛЬЗУЕМЫХ ИСТОЧНИКОВ</w:t>
      </w:r>
    </w:p>
    <w:p w14:paraId="20AB615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A5803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0D86CF4">
      <w:pPr>
        <w:numPr>
          <w:ilvl w:val="0"/>
          <w:numId w:val="4"/>
        </w:numPr>
        <w:tabs>
          <w:tab w:val="left" w:pos="993"/>
        </w:tabs>
        <w:spacing w:after="0" w:line="360" w:lineRule="atLeast"/>
        <w:ind w:left="0"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Устав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  <w:t>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>чреждения здравоохранения 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  <w:t>11 ГКБ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»  от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  <w:t>17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  <w:t>августа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 200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  <w:t>7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 г..</w:t>
      </w:r>
    </w:p>
    <w:p w14:paraId="54054F38">
      <w:pPr>
        <w:numPr>
          <w:ilvl w:val="0"/>
          <w:numId w:val="4"/>
        </w:numPr>
        <w:tabs>
          <w:tab w:val="left" w:pos="993"/>
        </w:tabs>
        <w:spacing w:after="0" w:line="360" w:lineRule="atLeast"/>
        <w:ind w:left="0"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zh-CN"/>
        </w:rPr>
        <w:t>Статистическая отчетность организации</w:t>
      </w:r>
    </w:p>
    <w:p w14:paraId="51FD136D">
      <w:pPr>
        <w:numPr>
          <w:ilvl w:val="0"/>
          <w:numId w:val="4"/>
        </w:numPr>
        <w:tabs>
          <w:tab w:val="left" w:pos="993"/>
        </w:tabs>
        <w:spacing w:after="0" w:line="360" w:lineRule="atLeast"/>
        <w:ind w:left="0"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Конституция Республики Беларусь 1994 г. (с изм. и доп., принятыми на республиканских референдумах 24 ноября 1996 г. и 17 октября 2004 г.). </w:t>
      </w:r>
    </w:p>
    <w:p w14:paraId="31496BDF">
      <w:pPr>
        <w:numPr>
          <w:ilvl w:val="0"/>
          <w:numId w:val="4"/>
        </w:numPr>
        <w:tabs>
          <w:tab w:val="left" w:pos="993"/>
        </w:tabs>
        <w:spacing w:after="0" w:line="360" w:lineRule="atLeast"/>
        <w:ind w:left="0"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Концепция национальной безопасности Республики Беларусь (Указ Президента Республики Беларусь 9 ноября 2010 г. №575)  </w:t>
      </w:r>
    </w:p>
    <w:p w14:paraId="600A54D5">
      <w:pPr>
        <w:numPr>
          <w:ilvl w:val="0"/>
          <w:numId w:val="4"/>
        </w:numPr>
        <w:tabs>
          <w:tab w:val="left" w:pos="993"/>
        </w:tabs>
        <w:spacing w:after="0" w:line="360" w:lineRule="atLeast"/>
        <w:ind w:left="0" w:firstLine="720"/>
        <w:jc w:val="both"/>
        <w:rPr>
          <w:rFonts w:ascii="Times New Roman" w:hAnsi="Times New Roman" w:eastAsia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Закон Республики Беларусь «О здравоохранении» от 18 июня 1993 г. № 2435- XII с изм. и доп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4DE3980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EFF5F8E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E76044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88289A9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E4F088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1DD19B0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47AD3A0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245976B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6D6D5A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9A405D4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52F272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A49A90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3E7F4A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54DC33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0E333D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5C9ED8F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B365A7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2A366F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CC2198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D15A73B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01D5992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0AD6708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D38F6B1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65106C7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5562046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1CBCC0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89BB9B0">
      <w:pPr>
        <w:tabs>
          <w:tab w:val="left" w:pos="1053"/>
        </w:tabs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>
      <w:footerReference r:id="rId5" w:type="default"/>
      <w:pgSz w:w="11906" w:h="16838"/>
      <w:pgMar w:top="1134" w:right="850" w:bottom="1134" w:left="1701" w:header="708" w:footer="708" w:gutter="0"/>
      <w:pgNumType w:start="2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Sans Serif">
    <w:panose1 w:val="020B0604020202020204"/>
    <w:charset w:val="CC"/>
    <w:family w:val="swiss"/>
    <w:pitch w:val="default"/>
    <w:sig w:usb0="E1002AFF" w:usb1="C0000002" w:usb2="00000008" w:usb3="00000000" w:csb0="200101FF" w:csb1="20280000"/>
  </w:font>
  <w:font w:name="Lora">
    <w:altName w:val="Segoe Print"/>
    <w:panose1 w:val="00000000000000000000"/>
    <w:charset w:val="CC"/>
    <w:family w:val="auto"/>
    <w:pitch w:val="default"/>
    <w:sig w:usb0="00000000" w:usb1="00000000" w:usb2="00000000" w:usb3="00000000" w:csb0="00000097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31050"/>
      <w:docPartObj>
        <w:docPartGallery w:val="AutoText"/>
      </w:docPartObj>
    </w:sdtPr>
    <w:sdtContent>
      <w:p w14:paraId="7AA7B91D">
        <w:pPr>
          <w:pStyle w:val="3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E2F5A03">
    <w:pPr>
      <w:pStyle w:val="3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E6F5F"/>
    <w:multiLevelType w:val="multilevel"/>
    <w:tmpl w:val="0AEE6F5F"/>
    <w:lvl w:ilvl="0" w:tentative="0">
      <w:start w:val="1"/>
      <w:numFmt w:val="decimal"/>
      <w:lvlText w:val="%1."/>
      <w:lvlJc w:val="left"/>
      <w:pPr>
        <w:ind w:left="100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72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44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316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88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60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32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604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767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1B3E40D4"/>
    <w:multiLevelType w:val="multilevel"/>
    <w:tmpl w:val="1B3E40D4"/>
    <w:lvl w:ilvl="0" w:tentative="0">
      <w:start w:val="1"/>
      <w:numFmt w:val="decimal"/>
      <w:lvlText w:val="%1."/>
      <w:lvlJc w:val="left"/>
      <w:pPr>
        <w:ind w:left="1080" w:hanging="360"/>
      </w:p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6D71BBB"/>
    <w:multiLevelType w:val="multilevel"/>
    <w:tmpl w:val="66D71BBB"/>
    <w:lvl w:ilvl="0" w:tentative="0">
      <w:start w:val="1"/>
      <w:numFmt w:val="bullet"/>
      <w:lvlText w:val="‒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nsid w:val="6F3A5D48"/>
    <w:multiLevelType w:val="multilevel"/>
    <w:tmpl w:val="6F3A5D48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0">
      <w:start w:val="1"/>
      <w:numFmt w:val="lowerLetter"/>
      <w:lvlText w:val="%2."/>
      <w:lvlJc w:val="left"/>
      <w:pPr>
        <w:ind w:left="2149" w:hanging="360"/>
      </w:pPr>
    </w:lvl>
    <w:lvl w:ilvl="2" w:tentative="0">
      <w:start w:val="1"/>
      <w:numFmt w:val="lowerRoman"/>
      <w:lvlText w:val="%3."/>
      <w:lvlJc w:val="right"/>
      <w:pPr>
        <w:ind w:left="2869" w:hanging="180"/>
      </w:pPr>
    </w:lvl>
    <w:lvl w:ilvl="3" w:tentative="0">
      <w:start w:val="1"/>
      <w:numFmt w:val="decimal"/>
      <w:lvlText w:val="%4."/>
      <w:lvlJc w:val="left"/>
      <w:pPr>
        <w:ind w:left="3589" w:hanging="360"/>
      </w:pPr>
    </w:lvl>
    <w:lvl w:ilvl="4" w:tentative="0">
      <w:start w:val="1"/>
      <w:numFmt w:val="lowerLetter"/>
      <w:lvlText w:val="%5."/>
      <w:lvlJc w:val="left"/>
      <w:pPr>
        <w:ind w:left="4309" w:hanging="360"/>
      </w:pPr>
    </w:lvl>
    <w:lvl w:ilvl="5" w:tentative="0">
      <w:start w:val="1"/>
      <w:numFmt w:val="lowerRoman"/>
      <w:lvlText w:val="%6."/>
      <w:lvlJc w:val="right"/>
      <w:pPr>
        <w:ind w:left="5029" w:hanging="180"/>
      </w:pPr>
    </w:lvl>
    <w:lvl w:ilvl="6" w:tentative="0">
      <w:start w:val="1"/>
      <w:numFmt w:val="decimal"/>
      <w:lvlText w:val="%7."/>
      <w:lvlJc w:val="left"/>
      <w:pPr>
        <w:ind w:left="5749" w:hanging="360"/>
      </w:pPr>
    </w:lvl>
    <w:lvl w:ilvl="7" w:tentative="0">
      <w:start w:val="1"/>
      <w:numFmt w:val="lowerLetter"/>
      <w:lvlText w:val="%8."/>
      <w:lvlJc w:val="left"/>
      <w:pPr>
        <w:ind w:left="6469" w:hanging="360"/>
      </w:pPr>
    </w:lvl>
    <w:lvl w:ilvl="8" w:tentative="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FA"/>
    <w:rsid w:val="0009742C"/>
    <w:rsid w:val="000A0A74"/>
    <w:rsid w:val="000A2278"/>
    <w:rsid w:val="000A4E23"/>
    <w:rsid w:val="000D06F0"/>
    <w:rsid w:val="000E4DF1"/>
    <w:rsid w:val="00113E3B"/>
    <w:rsid w:val="00181146"/>
    <w:rsid w:val="001D650B"/>
    <w:rsid w:val="002504D2"/>
    <w:rsid w:val="002673A0"/>
    <w:rsid w:val="00274C90"/>
    <w:rsid w:val="002B0F19"/>
    <w:rsid w:val="002B3860"/>
    <w:rsid w:val="002B64EA"/>
    <w:rsid w:val="002D2AB2"/>
    <w:rsid w:val="002F31EA"/>
    <w:rsid w:val="0037772F"/>
    <w:rsid w:val="003A3E92"/>
    <w:rsid w:val="003C5F1F"/>
    <w:rsid w:val="004705BA"/>
    <w:rsid w:val="004739A6"/>
    <w:rsid w:val="004D5032"/>
    <w:rsid w:val="00530A4A"/>
    <w:rsid w:val="005E247F"/>
    <w:rsid w:val="005F2CAB"/>
    <w:rsid w:val="00637005"/>
    <w:rsid w:val="0065650E"/>
    <w:rsid w:val="00656D2E"/>
    <w:rsid w:val="00706C08"/>
    <w:rsid w:val="00744208"/>
    <w:rsid w:val="00746874"/>
    <w:rsid w:val="00766388"/>
    <w:rsid w:val="007D1F3C"/>
    <w:rsid w:val="00823A31"/>
    <w:rsid w:val="008D1C36"/>
    <w:rsid w:val="00906814"/>
    <w:rsid w:val="00910647"/>
    <w:rsid w:val="009E640B"/>
    <w:rsid w:val="009E6FA0"/>
    <w:rsid w:val="00A30B48"/>
    <w:rsid w:val="00A405A1"/>
    <w:rsid w:val="00A55AFA"/>
    <w:rsid w:val="00A733E9"/>
    <w:rsid w:val="00A81E40"/>
    <w:rsid w:val="00A8426A"/>
    <w:rsid w:val="00A846EE"/>
    <w:rsid w:val="00B04D86"/>
    <w:rsid w:val="00B53133"/>
    <w:rsid w:val="00C5017D"/>
    <w:rsid w:val="00C7635D"/>
    <w:rsid w:val="00D20B72"/>
    <w:rsid w:val="00D343B0"/>
    <w:rsid w:val="00D53C1F"/>
    <w:rsid w:val="00D910D9"/>
    <w:rsid w:val="00D91CF9"/>
    <w:rsid w:val="00DD41C6"/>
    <w:rsid w:val="00DE2916"/>
    <w:rsid w:val="00E1106D"/>
    <w:rsid w:val="00E135CD"/>
    <w:rsid w:val="00E16006"/>
    <w:rsid w:val="00E42CFB"/>
    <w:rsid w:val="00EA737D"/>
    <w:rsid w:val="00EB42B3"/>
    <w:rsid w:val="00EE42B1"/>
    <w:rsid w:val="00F76FFA"/>
    <w:rsid w:val="00F82046"/>
    <w:rsid w:val="00FD21DD"/>
    <w:rsid w:val="0986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nhideWhenUsed="0" w:uiPriority="9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link w:val="25"/>
    <w:qFormat/>
    <w:uiPriority w:val="99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  <w:lang w:val="ru-RU" w:eastAsia="ru-RU"/>
    </w:rPr>
  </w:style>
  <w:style w:type="paragraph" w:styleId="3">
    <w:name w:val="heading 2"/>
    <w:next w:val="1"/>
    <w:link w:val="26"/>
    <w:unhideWhenUsed/>
    <w:qFormat/>
    <w:uiPriority w:val="99"/>
    <w:pPr>
      <w:keepNext/>
      <w:keepLines/>
      <w:spacing w:after="3" w:line="259" w:lineRule="auto"/>
      <w:ind w:left="509" w:hanging="10"/>
      <w:outlineLvl w:val="1"/>
    </w:pPr>
    <w:rPr>
      <w:rFonts w:ascii="Times New Roman" w:hAnsi="Times New Roman" w:eastAsia="Times New Roman" w:cs="Times New Roman"/>
      <w:b/>
      <w:color w:val="000000"/>
      <w:sz w:val="28"/>
      <w:szCs w:val="22"/>
      <w:lang w:val="en-US" w:eastAsia="en-US" w:bidi="ar-SA"/>
    </w:rPr>
  </w:style>
  <w:style w:type="paragraph" w:styleId="4">
    <w:name w:val="heading 3"/>
    <w:next w:val="1"/>
    <w:link w:val="27"/>
    <w:unhideWhenUsed/>
    <w:qFormat/>
    <w:uiPriority w:val="9"/>
    <w:pPr>
      <w:keepNext/>
      <w:keepLines/>
      <w:spacing w:after="129" w:line="259" w:lineRule="auto"/>
      <w:ind w:left="10" w:hanging="10"/>
      <w:jc w:val="right"/>
      <w:outlineLvl w:val="2"/>
    </w:pPr>
    <w:rPr>
      <w:rFonts w:ascii="Calibri" w:hAnsi="Calibri" w:eastAsia="Calibri" w:cs="Calibri"/>
      <w:i/>
      <w:color w:val="181717"/>
      <w:sz w:val="22"/>
      <w:szCs w:val="22"/>
      <w:lang w:val="en-US" w:eastAsia="en-US" w:bidi="ar-SA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00" w:after="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  <w:lang w:val="ru-RU"/>
      <w14:textFill>
        <w14:solidFill>
          <w14:schemeClr w14:val="accent1"/>
        </w14:solidFill>
      </w14:textFill>
    </w:rPr>
  </w:style>
  <w:style w:type="paragraph" w:styleId="6">
    <w:name w:val="heading 6"/>
    <w:basedOn w:val="1"/>
    <w:next w:val="1"/>
    <w:link w:val="29"/>
    <w:qFormat/>
    <w:uiPriority w:val="99"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val="ru-RU" w:eastAsia="ru-RU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Strong"/>
    <w:basedOn w:val="7"/>
    <w:qFormat/>
    <w:uiPriority w:val="22"/>
    <w:rPr>
      <w:b/>
      <w:bCs/>
    </w:rPr>
  </w:style>
  <w:style w:type="paragraph" w:styleId="12">
    <w:name w:val="Balloon Text"/>
    <w:basedOn w:val="1"/>
    <w:link w:val="4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paragraph" w:styleId="13">
    <w:name w:val="Body Text 2"/>
    <w:basedOn w:val="1"/>
    <w:link w:val="51"/>
    <w:semiHidden/>
    <w:unhideWhenUsed/>
    <w:qFormat/>
    <w:uiPriority w:val="99"/>
    <w:pPr>
      <w:spacing w:after="120" w:line="480" w:lineRule="auto"/>
    </w:pPr>
    <w:rPr>
      <w:lang w:val="ru-RU"/>
    </w:rPr>
  </w:style>
  <w:style w:type="paragraph" w:styleId="14">
    <w:name w:val="Plain Text"/>
    <w:basedOn w:val="1"/>
    <w:link w:val="44"/>
    <w:qFormat/>
    <w:uiPriority w:val="99"/>
    <w:pPr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/>
    </w:rPr>
  </w:style>
  <w:style w:type="paragraph" w:styleId="15">
    <w:name w:val="footnote text"/>
    <w:basedOn w:val="1"/>
    <w:link w:val="49"/>
    <w:semiHidden/>
    <w:unhideWhenUsed/>
    <w:qFormat/>
    <w:uiPriority w:val="99"/>
    <w:pPr>
      <w:spacing w:after="0" w:line="240" w:lineRule="auto"/>
    </w:pPr>
    <w:rPr>
      <w:sz w:val="20"/>
      <w:szCs w:val="20"/>
      <w:lang w:val="ru-RU"/>
    </w:rPr>
  </w:style>
  <w:style w:type="paragraph" w:styleId="16">
    <w:name w:val="header"/>
    <w:basedOn w:val="1"/>
    <w:link w:val="3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Body Text"/>
    <w:basedOn w:val="1"/>
    <w:link w:val="46"/>
    <w:qFormat/>
    <w:uiPriority w:val="99"/>
    <w:pPr>
      <w:spacing w:before="240"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paragraph" w:styleId="18">
    <w:name w:val="Body Text Indent"/>
    <w:basedOn w:val="1"/>
    <w:link w:val="50"/>
    <w:semiHidden/>
    <w:unhideWhenUsed/>
    <w:qFormat/>
    <w:uiPriority w:val="99"/>
    <w:pPr>
      <w:spacing w:after="120" w:line="276" w:lineRule="auto"/>
      <w:ind w:left="283"/>
    </w:pPr>
    <w:rPr>
      <w:lang w:val="ru-RU"/>
    </w:rPr>
  </w:style>
  <w:style w:type="paragraph" w:styleId="19">
    <w:name w:val="Title"/>
    <w:basedOn w:val="1"/>
    <w:link w:val="47"/>
    <w:qFormat/>
    <w:uiPriority w:val="99"/>
    <w:pPr>
      <w:spacing w:after="0" w:line="288" w:lineRule="auto"/>
      <w:jc w:val="center"/>
    </w:pPr>
    <w:rPr>
      <w:rFonts w:ascii="Arial" w:hAnsi="Arial" w:eastAsia="Times New Roman" w:cs="Times New Roman"/>
      <w:b/>
      <w:sz w:val="38"/>
      <w:szCs w:val="20"/>
      <w:lang w:val="ru-RU" w:eastAsia="ru-RU"/>
    </w:rPr>
  </w:style>
  <w:style w:type="paragraph" w:styleId="20">
    <w:name w:val="footer"/>
    <w:basedOn w:val="1"/>
    <w:link w:val="3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1">
    <w:name w:val="Normal (Web)"/>
    <w:basedOn w:val="1"/>
    <w:link w:val="30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22">
    <w:name w:val="Body Text 3"/>
    <w:basedOn w:val="1"/>
    <w:link w:val="37"/>
    <w:unhideWhenUsed/>
    <w:qFormat/>
    <w:uiPriority w:val="0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val="ru-RU" w:eastAsia="ru-RU"/>
    </w:rPr>
  </w:style>
  <w:style w:type="paragraph" w:styleId="23">
    <w:name w:val="Subtitle"/>
    <w:basedOn w:val="1"/>
    <w:link w:val="48"/>
    <w:qFormat/>
    <w:uiPriority w:val="99"/>
    <w:pPr>
      <w:spacing w:after="0" w:line="288" w:lineRule="auto"/>
      <w:jc w:val="center"/>
    </w:pPr>
    <w:rPr>
      <w:rFonts w:ascii="Arial" w:hAnsi="Arial" w:eastAsia="Times New Roman" w:cs="Times New Roman"/>
      <w:sz w:val="30"/>
      <w:szCs w:val="20"/>
      <w:lang w:val="ru-RU" w:eastAsia="ru-RU"/>
    </w:rPr>
  </w:style>
  <w:style w:type="paragraph" w:styleId="24">
    <w:name w:val="HTML Preformatted"/>
    <w:basedOn w:val="1"/>
    <w:link w:val="4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/>
    </w:rPr>
  </w:style>
  <w:style w:type="character" w:customStyle="1" w:styleId="25">
    <w:name w:val="Заголовок 1 Знак"/>
    <w:basedOn w:val="7"/>
    <w:link w:val="2"/>
    <w:qFormat/>
    <w:uiPriority w:val="99"/>
    <w:rPr>
      <w:rFonts w:ascii="Arial" w:hAnsi="Arial" w:eastAsia="Times New Roman" w:cs="Arial"/>
      <w:b/>
      <w:bCs/>
      <w:kern w:val="32"/>
      <w:sz w:val="32"/>
      <w:szCs w:val="32"/>
      <w:lang w:val="ru-RU" w:eastAsia="ru-RU"/>
    </w:rPr>
  </w:style>
  <w:style w:type="character" w:customStyle="1" w:styleId="26">
    <w:name w:val="Заголовок 2 Знак"/>
    <w:basedOn w:val="7"/>
    <w:link w:val="3"/>
    <w:qFormat/>
    <w:uiPriority w:val="99"/>
    <w:rPr>
      <w:rFonts w:ascii="Times New Roman" w:hAnsi="Times New Roman" w:eastAsia="Times New Roman" w:cs="Times New Roman"/>
      <w:b/>
      <w:color w:val="000000"/>
      <w:sz w:val="28"/>
      <w:lang w:val="en-US"/>
    </w:rPr>
  </w:style>
  <w:style w:type="character" w:customStyle="1" w:styleId="27">
    <w:name w:val="Заголовок 3 Знак"/>
    <w:basedOn w:val="7"/>
    <w:link w:val="4"/>
    <w:qFormat/>
    <w:uiPriority w:val="9"/>
    <w:rPr>
      <w:rFonts w:ascii="Calibri" w:hAnsi="Calibri" w:eastAsia="Calibri" w:cs="Calibri"/>
      <w:i/>
      <w:color w:val="181717"/>
      <w:lang w:val="en-US"/>
    </w:rPr>
  </w:style>
  <w:style w:type="character" w:customStyle="1" w:styleId="28">
    <w:name w:val="Заголовок 4 Знак"/>
    <w:basedOn w:val="7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  <w:lang w:val="ru-RU"/>
      <w14:textFill>
        <w14:solidFill>
          <w14:schemeClr w14:val="accent1"/>
        </w14:solidFill>
      </w14:textFill>
    </w:rPr>
  </w:style>
  <w:style w:type="character" w:customStyle="1" w:styleId="29">
    <w:name w:val="Заголовок 6 Знак"/>
    <w:basedOn w:val="7"/>
    <w:link w:val="6"/>
    <w:qFormat/>
    <w:uiPriority w:val="99"/>
    <w:rPr>
      <w:rFonts w:ascii="Times New Roman" w:hAnsi="Times New Roman" w:eastAsia="Times New Roman" w:cs="Times New Roman"/>
      <w:b/>
      <w:bCs/>
      <w:lang w:val="ru-RU" w:eastAsia="ru-RU"/>
    </w:rPr>
  </w:style>
  <w:style w:type="character" w:customStyle="1" w:styleId="30">
    <w:name w:val="Обычный (Интернет) Знак"/>
    <w:basedOn w:val="7"/>
    <w:link w:val="21"/>
    <w:qFormat/>
    <w:locked/>
    <w:uiPriority w:val="99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paragraph" w:customStyle="1" w:styleId="32">
    <w:name w:val="tab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customStyle="1" w:styleId="33">
    <w:name w:val="titleu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34">
    <w:name w:val="Верхний колонтитул Знак"/>
    <w:basedOn w:val="7"/>
    <w:link w:val="16"/>
    <w:qFormat/>
    <w:uiPriority w:val="99"/>
  </w:style>
  <w:style w:type="character" w:customStyle="1" w:styleId="35">
    <w:name w:val="Нижний колонтитул Знак"/>
    <w:basedOn w:val="7"/>
    <w:link w:val="20"/>
    <w:qFormat/>
    <w:uiPriority w:val="99"/>
  </w:style>
  <w:style w:type="paragraph" w:customStyle="1" w:styleId="36">
    <w:name w:val="Style13"/>
    <w:basedOn w:val="1"/>
    <w:qFormat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customStyle="1" w:styleId="37">
    <w:name w:val="Основной текст 3 Знак"/>
    <w:basedOn w:val="7"/>
    <w:link w:val="22"/>
    <w:qFormat/>
    <w:uiPriority w:val="0"/>
    <w:rPr>
      <w:rFonts w:ascii="Times New Roman" w:hAnsi="Times New Roman" w:eastAsia="Times New Roman" w:cs="Times New Roman"/>
      <w:sz w:val="16"/>
      <w:szCs w:val="16"/>
      <w:lang w:val="ru-RU" w:eastAsia="ru-RU"/>
    </w:rPr>
  </w:style>
  <w:style w:type="paragraph" w:customStyle="1" w:styleId="38">
    <w:name w:val="pbot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39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40">
    <w:name w:val="Текст выноски Знак"/>
    <w:basedOn w:val="7"/>
    <w:link w:val="12"/>
    <w:semiHidden/>
    <w:qFormat/>
    <w:uiPriority w:val="99"/>
    <w:rPr>
      <w:rFonts w:ascii="Tahoma" w:hAnsi="Tahoma" w:cs="Tahoma"/>
      <w:sz w:val="16"/>
      <w:szCs w:val="16"/>
      <w:lang w:val="ru-RU"/>
    </w:rPr>
  </w:style>
  <w:style w:type="character" w:customStyle="1" w:styleId="41">
    <w:name w:val="apple-tab-span"/>
    <w:basedOn w:val="7"/>
    <w:qFormat/>
    <w:uiPriority w:val="0"/>
  </w:style>
  <w:style w:type="paragraph" w:customStyle="1" w:styleId="42">
    <w:name w:val="Реферат"/>
    <w:qFormat/>
    <w:uiPriority w:val="99"/>
    <w:pPr>
      <w:widowControl w:val="0"/>
      <w:spacing w:after="0" w:line="336" w:lineRule="auto"/>
      <w:ind w:firstLine="720"/>
      <w:jc w:val="both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  <w:style w:type="character" w:customStyle="1" w:styleId="43">
    <w:name w:val="Стандартный HTML Знак"/>
    <w:basedOn w:val="7"/>
    <w:link w:val="24"/>
    <w:qFormat/>
    <w:uiPriority w:val="99"/>
    <w:rPr>
      <w:rFonts w:ascii="Courier New" w:hAnsi="Courier New" w:eastAsia="Times New Roman" w:cs="Courier New"/>
      <w:sz w:val="20"/>
      <w:szCs w:val="20"/>
      <w:lang w:val="ru-RU" w:eastAsia="ru-RU"/>
    </w:rPr>
  </w:style>
  <w:style w:type="character" w:customStyle="1" w:styleId="44">
    <w:name w:val="Текст Знак"/>
    <w:basedOn w:val="7"/>
    <w:link w:val="14"/>
    <w:qFormat/>
    <w:uiPriority w:val="99"/>
    <w:rPr>
      <w:rFonts w:ascii="Courier New" w:hAnsi="Courier New" w:eastAsia="Times New Roman" w:cs="Courier New"/>
      <w:sz w:val="20"/>
      <w:szCs w:val="20"/>
      <w:lang w:val="ru-RU" w:eastAsia="ru-RU"/>
    </w:rPr>
  </w:style>
  <w:style w:type="character" w:customStyle="1" w:styleId="45">
    <w:name w:val="text"/>
    <w:qFormat/>
    <w:uiPriority w:val="99"/>
    <w:rPr>
      <w:rFonts w:cs="Times New Roman"/>
    </w:rPr>
  </w:style>
  <w:style w:type="character" w:customStyle="1" w:styleId="46">
    <w:name w:val="Основной текст Знак"/>
    <w:basedOn w:val="7"/>
    <w:link w:val="17"/>
    <w:qFormat/>
    <w:uiPriority w:val="99"/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customStyle="1" w:styleId="47">
    <w:name w:val="Заголовок Знак"/>
    <w:basedOn w:val="7"/>
    <w:link w:val="19"/>
    <w:qFormat/>
    <w:uiPriority w:val="99"/>
    <w:rPr>
      <w:rFonts w:ascii="Arial" w:hAnsi="Arial" w:eastAsia="Times New Roman" w:cs="Times New Roman"/>
      <w:b/>
      <w:sz w:val="38"/>
      <w:szCs w:val="20"/>
      <w:lang w:val="ru-RU" w:eastAsia="ru-RU"/>
    </w:rPr>
  </w:style>
  <w:style w:type="character" w:customStyle="1" w:styleId="48">
    <w:name w:val="Подзаголовок Знак"/>
    <w:basedOn w:val="7"/>
    <w:link w:val="23"/>
    <w:qFormat/>
    <w:uiPriority w:val="99"/>
    <w:rPr>
      <w:rFonts w:ascii="Arial" w:hAnsi="Arial" w:eastAsia="Times New Roman" w:cs="Times New Roman"/>
      <w:sz w:val="30"/>
      <w:szCs w:val="20"/>
      <w:lang w:val="ru-RU" w:eastAsia="ru-RU"/>
    </w:rPr>
  </w:style>
  <w:style w:type="character" w:customStyle="1" w:styleId="49">
    <w:name w:val="Текст сноски Знак"/>
    <w:basedOn w:val="7"/>
    <w:link w:val="15"/>
    <w:semiHidden/>
    <w:qFormat/>
    <w:uiPriority w:val="99"/>
    <w:rPr>
      <w:sz w:val="20"/>
      <w:szCs w:val="20"/>
      <w:lang w:val="ru-RU"/>
    </w:rPr>
  </w:style>
  <w:style w:type="character" w:customStyle="1" w:styleId="50">
    <w:name w:val="Основной текст с отступом Знак"/>
    <w:basedOn w:val="7"/>
    <w:link w:val="18"/>
    <w:semiHidden/>
    <w:qFormat/>
    <w:uiPriority w:val="99"/>
    <w:rPr>
      <w:lang w:val="ru-RU"/>
    </w:rPr>
  </w:style>
  <w:style w:type="character" w:customStyle="1" w:styleId="51">
    <w:name w:val="Основной текст 2 Знак"/>
    <w:basedOn w:val="7"/>
    <w:link w:val="13"/>
    <w:semiHidden/>
    <w:qFormat/>
    <w:uiPriority w:val="99"/>
    <w:rPr>
      <w:lang w:val="ru-RU"/>
    </w:rPr>
  </w:style>
  <w:style w:type="character" w:customStyle="1" w:styleId="52">
    <w:name w:val="Андрюхин стиль Знак"/>
    <w:basedOn w:val="7"/>
    <w:link w:val="53"/>
    <w:qFormat/>
    <w:locked/>
    <w:uiPriority w:val="0"/>
    <w:rPr>
      <w:bCs/>
      <w:color w:val="000000"/>
      <w:sz w:val="28"/>
      <w:szCs w:val="23"/>
    </w:rPr>
  </w:style>
  <w:style w:type="paragraph" w:customStyle="1" w:styleId="53">
    <w:name w:val="Андрюхин стиль"/>
    <w:basedOn w:val="1"/>
    <w:link w:val="52"/>
    <w:qFormat/>
    <w:uiPriority w:val="0"/>
    <w:pPr>
      <w:widowControl w:val="0"/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bCs/>
      <w:color w:val="000000"/>
      <w:sz w:val="28"/>
      <w:szCs w:val="23"/>
    </w:rPr>
  </w:style>
  <w:style w:type="paragraph" w:customStyle="1" w:styleId="54">
    <w:name w:val="Дмитрий"/>
    <w:basedOn w:val="1"/>
    <w:link w:val="55"/>
    <w:qFormat/>
    <w:uiPriority w:val="0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 w:eastAsia="Times New Roman" w:cs="Arial"/>
      <w:sz w:val="28"/>
      <w:szCs w:val="28"/>
      <w:lang w:val="ru-RU" w:eastAsia="ru-RU"/>
    </w:rPr>
  </w:style>
  <w:style w:type="character" w:customStyle="1" w:styleId="55">
    <w:name w:val="Дмитрий Знак"/>
    <w:basedOn w:val="7"/>
    <w:link w:val="54"/>
    <w:qFormat/>
    <w:locked/>
    <w:uiPriority w:val="0"/>
    <w:rPr>
      <w:rFonts w:ascii="Times New Roman" w:hAnsi="Times New Roman" w:eastAsia="Times New Roman" w:cs="Arial"/>
      <w:sz w:val="28"/>
      <w:szCs w:val="28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2F74B-3B68-49B1-B336-8D7F05D77A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12247</Words>
  <Characters>69812</Characters>
  <Lines>581</Lines>
  <Paragraphs>163</Paragraphs>
  <TotalTime>226</TotalTime>
  <ScaleCrop>false</ScaleCrop>
  <LinksUpToDate>false</LinksUpToDate>
  <CharactersWithSpaces>81896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2025-01-14T06:29:00Z</dcterms:created>
  <dc:creator>Alena Vashkevich</dc:creator>
  <cp:lastModifiedBy>Ангелина Бруй</cp:lastModifiedBy>
  <dcterms:modified xsi:type="dcterms:W3CDTF">2026-04-02T08:02:50Z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B2271EC262C14C6B863FD3721EE731BE_12</vt:lpwstr>
  </property>
</Properties>
</file>